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0" w:rsidRPr="00E9733C" w:rsidRDefault="00E9733C" w:rsidP="00E9733C">
      <w:pPr>
        <w:jc w:val="right"/>
        <w:rPr>
          <w:b/>
          <w:sz w:val="28"/>
        </w:rPr>
      </w:pPr>
      <w:bookmarkStart w:id="0" w:name="_GoBack"/>
      <w:bookmarkEnd w:id="0"/>
      <w:r w:rsidRPr="00E9733C">
        <w:rPr>
          <w:b/>
          <w:sz w:val="28"/>
        </w:rPr>
        <w:t>Item X</w:t>
      </w:r>
    </w:p>
    <w:p w:rsidR="00E9733C" w:rsidRPr="00E9733C" w:rsidRDefault="00E9733C" w:rsidP="00E9733C">
      <w:pPr>
        <w:jc w:val="center"/>
        <w:rPr>
          <w:b/>
        </w:rPr>
      </w:pPr>
    </w:p>
    <w:p w:rsidR="00E9733C" w:rsidRPr="00E9733C" w:rsidRDefault="00427770" w:rsidP="00E9733C">
      <w:pPr>
        <w:jc w:val="center"/>
        <w:rPr>
          <w:b/>
          <w:sz w:val="32"/>
        </w:rPr>
      </w:pPr>
      <w:r>
        <w:rPr>
          <w:b/>
          <w:sz w:val="32"/>
        </w:rPr>
        <w:t>Cabinet</w:t>
      </w:r>
    </w:p>
    <w:p w:rsidR="00E9733C" w:rsidRPr="00E9733C" w:rsidRDefault="00E9733C" w:rsidP="00E9733C">
      <w:pPr>
        <w:jc w:val="center"/>
        <w:rPr>
          <w:b/>
        </w:rPr>
      </w:pPr>
    </w:p>
    <w:p w:rsidR="00E9733C" w:rsidRPr="00E9733C" w:rsidRDefault="00427770" w:rsidP="00E9733C">
      <w:pPr>
        <w:jc w:val="center"/>
        <w:rPr>
          <w:b/>
          <w:sz w:val="32"/>
        </w:rPr>
      </w:pPr>
      <w:r>
        <w:rPr>
          <w:b/>
          <w:sz w:val="32"/>
        </w:rPr>
        <w:t>12 November 2015</w:t>
      </w:r>
    </w:p>
    <w:p w:rsidR="00E9733C" w:rsidRPr="00E9733C" w:rsidRDefault="00E9733C" w:rsidP="00E9733C">
      <w:pPr>
        <w:jc w:val="center"/>
        <w:rPr>
          <w:b/>
        </w:rPr>
      </w:pPr>
    </w:p>
    <w:p w:rsidR="00E9733C" w:rsidRPr="00E9733C" w:rsidRDefault="001C2870" w:rsidP="00E9733C">
      <w:pPr>
        <w:jc w:val="center"/>
        <w:rPr>
          <w:b/>
          <w:sz w:val="32"/>
        </w:rPr>
      </w:pPr>
      <w:r>
        <w:rPr>
          <w:b/>
          <w:sz w:val="32"/>
        </w:rPr>
        <w:t>Getting West Nuneaton Moving: Bermuda Connection</w:t>
      </w:r>
    </w:p>
    <w:p w:rsidR="00E9733C" w:rsidRDefault="00E9733C"/>
    <w:p w:rsidR="00E9733C" w:rsidRPr="00E9733C" w:rsidRDefault="00E9733C" w:rsidP="00E9733C">
      <w:pPr>
        <w:ind w:firstLine="720"/>
        <w:rPr>
          <w:b/>
          <w:sz w:val="28"/>
        </w:rPr>
      </w:pPr>
      <w:r w:rsidRPr="00E9733C">
        <w:rPr>
          <w:b/>
          <w:sz w:val="28"/>
        </w:rPr>
        <w:t>Recommendation(s)</w:t>
      </w:r>
    </w:p>
    <w:p w:rsidR="00E9733C" w:rsidRDefault="00E9733C"/>
    <w:p w:rsidR="003D334A" w:rsidRDefault="00522FF0" w:rsidP="001A4C83">
      <w:pPr>
        <w:pStyle w:val="ListParagraph"/>
        <w:numPr>
          <w:ilvl w:val="0"/>
          <w:numId w:val="16"/>
        </w:numPr>
        <w:ind w:left="1134" w:hanging="429"/>
      </w:pPr>
      <w:r>
        <w:t xml:space="preserve">That </w:t>
      </w:r>
      <w:r w:rsidR="004C1E4B">
        <w:t>the Strategic Director</w:t>
      </w:r>
      <w:r w:rsidR="00392E71">
        <w:t xml:space="preserve"> for</w:t>
      </w:r>
      <w:r w:rsidR="004C1E4B">
        <w:t xml:space="preserve"> Communities be authorised to undertake the detailed design of the scheme</w:t>
      </w:r>
      <w:r w:rsidR="004C1E4B" w:rsidRPr="00CD558C">
        <w:t xml:space="preserve"> </w:t>
      </w:r>
      <w:r w:rsidR="004C1E4B">
        <w:t xml:space="preserve">in accordance with Option 1 </w:t>
      </w:r>
      <w:r w:rsidR="00EE4E2E">
        <w:t xml:space="preserve">or </w:t>
      </w:r>
      <w:r w:rsidR="0018562F">
        <w:t xml:space="preserve">to pursue </w:t>
      </w:r>
      <w:r w:rsidR="00EE4E2E">
        <w:t xml:space="preserve">Option 2 </w:t>
      </w:r>
      <w:r w:rsidR="004C1E4B">
        <w:t>as described in paragraph 4.1 of this report.</w:t>
      </w:r>
    </w:p>
    <w:p w:rsidR="005D3C37" w:rsidRDefault="005D3C37" w:rsidP="00522FF0">
      <w:pPr>
        <w:ind w:left="1069"/>
      </w:pPr>
    </w:p>
    <w:p w:rsidR="00E9733C" w:rsidRDefault="00E9733C">
      <w:pPr>
        <w:rPr>
          <w:b/>
          <w:sz w:val="28"/>
        </w:rPr>
      </w:pPr>
      <w:r w:rsidRPr="00E9733C">
        <w:rPr>
          <w:b/>
          <w:sz w:val="28"/>
        </w:rPr>
        <w:t>1.0</w:t>
      </w:r>
      <w:r w:rsidRPr="00E9733C">
        <w:rPr>
          <w:b/>
          <w:sz w:val="28"/>
        </w:rPr>
        <w:tab/>
      </w:r>
      <w:r w:rsidR="00EB1CDF">
        <w:rPr>
          <w:b/>
          <w:sz w:val="28"/>
        </w:rPr>
        <w:t xml:space="preserve">Background </w:t>
      </w:r>
      <w:r w:rsidR="009B5584">
        <w:rPr>
          <w:b/>
          <w:sz w:val="28"/>
        </w:rPr>
        <w:t>Information</w:t>
      </w:r>
    </w:p>
    <w:p w:rsidR="00E9733C" w:rsidRDefault="00A87EAD">
      <w:r>
        <w:rPr>
          <w:b/>
          <w:sz w:val="28"/>
        </w:rPr>
        <w:tab/>
      </w:r>
    </w:p>
    <w:p w:rsidR="0097111A" w:rsidRDefault="00E9733C" w:rsidP="009D1384">
      <w:pPr>
        <w:ind w:left="709" w:hanging="709"/>
      </w:pPr>
      <w:r>
        <w:t>1.1</w:t>
      </w:r>
      <w:r>
        <w:tab/>
      </w:r>
      <w:r w:rsidR="009D1384">
        <w:t>The proposed scheme forms part of the Nuneaton A4</w:t>
      </w:r>
      <w:r w:rsidR="00AC1B60">
        <w:t>44 Growth Corridor Improvement P</w:t>
      </w:r>
      <w:r w:rsidR="009D1384">
        <w:t xml:space="preserve">rogramme </w:t>
      </w:r>
      <w:r w:rsidR="0097111A">
        <w:t xml:space="preserve">and would produce </w:t>
      </w:r>
      <w:r w:rsidR="003000BC">
        <w:t xml:space="preserve">the following </w:t>
      </w:r>
      <w:r w:rsidR="0097111A">
        <w:t>range</w:t>
      </w:r>
      <w:r w:rsidR="003000BC">
        <w:t xml:space="preserve"> of benefits for </w:t>
      </w:r>
      <w:r w:rsidR="00AC1B60">
        <w:t xml:space="preserve">the local community in the wider </w:t>
      </w:r>
      <w:r w:rsidR="003000BC">
        <w:t xml:space="preserve">West </w:t>
      </w:r>
      <w:r w:rsidR="00AC1B60">
        <w:t xml:space="preserve">Nuneaton </w:t>
      </w:r>
      <w:r w:rsidR="003000BC">
        <w:t>area</w:t>
      </w:r>
      <w:r w:rsidR="0097111A">
        <w:t>:</w:t>
      </w:r>
    </w:p>
    <w:p w:rsidR="0097111A" w:rsidRPr="0097111A" w:rsidRDefault="0097111A" w:rsidP="0097111A">
      <w:pPr>
        <w:pStyle w:val="ListParagraph"/>
        <w:numPr>
          <w:ilvl w:val="0"/>
          <w:numId w:val="24"/>
        </w:numPr>
        <w:ind w:left="1560" w:hanging="284"/>
        <w:rPr>
          <w:szCs w:val="24"/>
        </w:rPr>
      </w:pPr>
      <w:r>
        <w:t>Creating additional highway capacity by means of</w:t>
      </w:r>
      <w:r w:rsidRPr="0097111A">
        <w:rPr>
          <w:rFonts w:cs="Arial"/>
          <w:sz w:val="20"/>
        </w:rPr>
        <w:t xml:space="preserve"> </w:t>
      </w:r>
      <w:r w:rsidRPr="0097111A">
        <w:rPr>
          <w:rFonts w:cs="Arial"/>
          <w:szCs w:val="24"/>
        </w:rPr>
        <w:t xml:space="preserve">an additional link between West Nuneaton and Griff Roundabout </w:t>
      </w:r>
      <w:r>
        <w:rPr>
          <w:rFonts w:cs="Arial"/>
          <w:szCs w:val="24"/>
        </w:rPr>
        <w:t>via Bermuda Bridge;</w:t>
      </w:r>
    </w:p>
    <w:p w:rsidR="0097111A" w:rsidRPr="0097111A" w:rsidRDefault="0057314D" w:rsidP="0097111A">
      <w:pPr>
        <w:pStyle w:val="ListParagraph"/>
        <w:numPr>
          <w:ilvl w:val="0"/>
          <w:numId w:val="24"/>
        </w:numPr>
        <w:ind w:left="1560" w:hanging="284"/>
        <w:rPr>
          <w:szCs w:val="24"/>
        </w:rPr>
      </w:pPr>
      <w:r>
        <w:rPr>
          <w:szCs w:val="24"/>
        </w:rPr>
        <w:t>Reducing</w:t>
      </w:r>
      <w:r w:rsidR="0097111A">
        <w:rPr>
          <w:szCs w:val="24"/>
        </w:rPr>
        <w:t xml:space="preserve"> congestion </w:t>
      </w:r>
      <w:r w:rsidR="0097111A" w:rsidRPr="0097111A">
        <w:rPr>
          <w:rFonts w:cs="Arial"/>
          <w:szCs w:val="24"/>
        </w:rPr>
        <w:t>in parts of the town centre thus improving links onto the A444 in Nuneaton for residents in other parts of the town;</w:t>
      </w:r>
    </w:p>
    <w:p w:rsidR="0097111A" w:rsidRPr="003000BC" w:rsidRDefault="0097111A" w:rsidP="0097111A">
      <w:pPr>
        <w:pStyle w:val="ListParagraph"/>
        <w:numPr>
          <w:ilvl w:val="0"/>
          <w:numId w:val="24"/>
        </w:numPr>
        <w:ind w:left="1560" w:hanging="284"/>
      </w:pPr>
      <w:r>
        <w:t>Impro</w:t>
      </w:r>
      <w:r w:rsidR="0057314D">
        <w:t>ving</w:t>
      </w:r>
      <w:r>
        <w:t xml:space="preserve"> journey times </w:t>
      </w:r>
      <w:r w:rsidRPr="0097111A">
        <w:rPr>
          <w:rFonts w:cs="Arial"/>
          <w:szCs w:val="24"/>
        </w:rPr>
        <w:t xml:space="preserve">for local residents </w:t>
      </w:r>
      <w:r>
        <w:rPr>
          <w:rFonts w:cs="Arial"/>
          <w:szCs w:val="24"/>
        </w:rPr>
        <w:t>on a number of routes in the West Nuneaton area;</w:t>
      </w:r>
    </w:p>
    <w:p w:rsidR="0097111A" w:rsidRPr="0097111A" w:rsidRDefault="0097111A" w:rsidP="0097111A">
      <w:pPr>
        <w:pStyle w:val="ListParagraph"/>
        <w:numPr>
          <w:ilvl w:val="0"/>
          <w:numId w:val="24"/>
        </w:numPr>
        <w:ind w:left="1560" w:hanging="284"/>
      </w:pPr>
      <w:r>
        <w:t>Support</w:t>
      </w:r>
      <w:r w:rsidR="0057314D">
        <w:t>ing</w:t>
      </w:r>
      <w:r>
        <w:t xml:space="preserve"> </w:t>
      </w:r>
      <w:r w:rsidRPr="0097111A">
        <w:rPr>
          <w:rFonts w:cs="Arial"/>
          <w:szCs w:val="24"/>
        </w:rPr>
        <w:t>economic growth in Nuneaton by enhancing access to existing and future local jobs, e.g. proposed expansion of Bermuda Park major employment site;</w:t>
      </w:r>
    </w:p>
    <w:p w:rsidR="0097111A" w:rsidRPr="0057314D" w:rsidRDefault="0097111A" w:rsidP="0097111A">
      <w:pPr>
        <w:pStyle w:val="ListParagraph"/>
        <w:numPr>
          <w:ilvl w:val="0"/>
          <w:numId w:val="24"/>
        </w:numPr>
        <w:ind w:left="1560" w:hanging="284"/>
      </w:pPr>
      <w:r>
        <w:t>Support</w:t>
      </w:r>
      <w:r w:rsidR="0057314D">
        <w:t>ing</w:t>
      </w:r>
      <w:r>
        <w:t xml:space="preserve"> the </w:t>
      </w:r>
      <w:r w:rsidRPr="0097111A">
        <w:rPr>
          <w:rFonts w:cs="Arial"/>
          <w:szCs w:val="24"/>
        </w:rPr>
        <w:t>objectives of t</w:t>
      </w:r>
      <w:r w:rsidR="0057314D">
        <w:rPr>
          <w:rFonts w:cs="Arial"/>
          <w:szCs w:val="24"/>
        </w:rPr>
        <w:t xml:space="preserve">he </w:t>
      </w:r>
      <w:r w:rsidR="005D56B3">
        <w:rPr>
          <w:rFonts w:cs="Arial"/>
          <w:szCs w:val="24"/>
        </w:rPr>
        <w:t xml:space="preserve">NUCKLE major rail initiative </w:t>
      </w:r>
      <w:r w:rsidRPr="0097111A">
        <w:rPr>
          <w:rFonts w:cs="Arial"/>
          <w:szCs w:val="24"/>
        </w:rPr>
        <w:t>in terms of substantially enhancing access to Bermuda Park rail station;</w:t>
      </w:r>
    </w:p>
    <w:p w:rsidR="003000BC" w:rsidRPr="0097111A" w:rsidRDefault="0057314D" w:rsidP="003000BC">
      <w:pPr>
        <w:pStyle w:val="ListParagraph"/>
        <w:numPr>
          <w:ilvl w:val="0"/>
          <w:numId w:val="24"/>
        </w:numPr>
        <w:ind w:left="1560" w:hanging="284"/>
      </w:pPr>
      <w:r>
        <w:t xml:space="preserve">Supporting the </w:t>
      </w:r>
      <w:r w:rsidRPr="0097111A">
        <w:rPr>
          <w:rFonts w:cs="Arial"/>
          <w:szCs w:val="24"/>
        </w:rPr>
        <w:t>movement of goods and people along the A444 growth corridor</w:t>
      </w:r>
      <w:r>
        <w:rPr>
          <w:rFonts w:cs="Arial"/>
          <w:szCs w:val="24"/>
        </w:rPr>
        <w:t>;</w:t>
      </w:r>
      <w:r w:rsidR="003000BC" w:rsidRPr="003000BC">
        <w:rPr>
          <w:rFonts w:cs="Arial"/>
          <w:szCs w:val="24"/>
        </w:rPr>
        <w:t xml:space="preserve"> </w:t>
      </w:r>
    </w:p>
    <w:p w:rsidR="0057314D" w:rsidRPr="0020718F" w:rsidRDefault="003000BC" w:rsidP="0020718F">
      <w:pPr>
        <w:pStyle w:val="ListParagraph"/>
        <w:numPr>
          <w:ilvl w:val="0"/>
          <w:numId w:val="24"/>
        </w:numPr>
        <w:ind w:left="1560" w:hanging="284"/>
        <w:rPr>
          <w:rFonts w:cs="Arial"/>
          <w:szCs w:val="24"/>
        </w:rPr>
      </w:pPr>
      <w:r w:rsidRPr="0020718F">
        <w:rPr>
          <w:rFonts w:cs="Arial"/>
          <w:szCs w:val="24"/>
        </w:rPr>
        <w:t>Supporting p</w:t>
      </w:r>
      <w:r w:rsidR="00E82C72" w:rsidRPr="0020718F">
        <w:rPr>
          <w:rFonts w:cs="Arial"/>
          <w:szCs w:val="24"/>
        </w:rPr>
        <w:t>rojected</w:t>
      </w:r>
      <w:r w:rsidRPr="0020718F">
        <w:rPr>
          <w:rFonts w:cs="Arial"/>
          <w:szCs w:val="24"/>
        </w:rPr>
        <w:t xml:space="preserve"> future growth in Nuneaton in terms of population and housing;</w:t>
      </w:r>
    </w:p>
    <w:p w:rsidR="0057314D" w:rsidRPr="0057314D" w:rsidRDefault="0057314D" w:rsidP="0057314D">
      <w:pPr>
        <w:pStyle w:val="ListParagraph"/>
        <w:numPr>
          <w:ilvl w:val="0"/>
          <w:numId w:val="24"/>
        </w:numPr>
        <w:ind w:left="1560" w:hanging="284"/>
      </w:pPr>
      <w:r>
        <w:t>C</w:t>
      </w:r>
      <w:r w:rsidRPr="0057314D">
        <w:rPr>
          <w:rFonts w:cs="Arial"/>
          <w:szCs w:val="24"/>
        </w:rPr>
        <w:t>omplementing the proposed Coventry – Nuneaton Cycle Scheme in terms of enhancing shared pede</w:t>
      </w:r>
      <w:r>
        <w:rPr>
          <w:rFonts w:cs="Arial"/>
          <w:szCs w:val="24"/>
        </w:rPr>
        <w:t xml:space="preserve">strian and cycle links onto </w:t>
      </w:r>
      <w:r w:rsidRPr="0057314D">
        <w:rPr>
          <w:rFonts w:cs="Arial"/>
          <w:szCs w:val="24"/>
        </w:rPr>
        <w:t>Griff Roundabout, Coventry Canal, Hill Top – Nuneaton Town Centre link, George Eliot Hospital, EPIC, Bermuda Village and Ensor</w:t>
      </w:r>
      <w:r w:rsidR="00E263D1">
        <w:rPr>
          <w:rFonts w:cs="Arial"/>
          <w:szCs w:val="24"/>
        </w:rPr>
        <w:t>’</w:t>
      </w:r>
      <w:r>
        <w:rPr>
          <w:rFonts w:cs="Arial"/>
          <w:szCs w:val="24"/>
        </w:rPr>
        <w:t>s Pool; and</w:t>
      </w:r>
    </w:p>
    <w:p w:rsidR="0097111A" w:rsidRDefault="0057314D" w:rsidP="0057314D">
      <w:pPr>
        <w:pStyle w:val="ListParagraph"/>
        <w:numPr>
          <w:ilvl w:val="0"/>
          <w:numId w:val="24"/>
        </w:numPr>
        <w:ind w:left="1560" w:hanging="284"/>
      </w:pPr>
      <w:r>
        <w:t xml:space="preserve">Contributing towards </w:t>
      </w:r>
      <w:r w:rsidRPr="0097111A">
        <w:rPr>
          <w:rFonts w:cs="Arial"/>
          <w:szCs w:val="24"/>
        </w:rPr>
        <w:t xml:space="preserve">fulfilling the wider economic aspirations highlighted in Priority 3 – A444 North – South Corridor in the </w:t>
      </w:r>
      <w:r w:rsidR="001E50E6">
        <w:rPr>
          <w:rFonts w:cs="Arial"/>
          <w:color w:val="222222"/>
          <w:szCs w:val="24"/>
        </w:rPr>
        <w:t>Coventry and Warwickshire Local Enterprise Partnership</w:t>
      </w:r>
      <w:r w:rsidR="001E50E6" w:rsidRPr="0097111A">
        <w:rPr>
          <w:rFonts w:cs="Arial"/>
          <w:szCs w:val="24"/>
        </w:rPr>
        <w:t xml:space="preserve"> </w:t>
      </w:r>
      <w:r w:rsidR="001E50E6">
        <w:rPr>
          <w:rFonts w:cs="Arial"/>
          <w:szCs w:val="24"/>
        </w:rPr>
        <w:t>(</w:t>
      </w:r>
      <w:r w:rsidRPr="0097111A">
        <w:rPr>
          <w:rFonts w:cs="Arial"/>
          <w:szCs w:val="24"/>
        </w:rPr>
        <w:t>CWLEP</w:t>
      </w:r>
      <w:r w:rsidR="001E50E6">
        <w:rPr>
          <w:rFonts w:cs="Arial"/>
          <w:szCs w:val="24"/>
        </w:rPr>
        <w:t>) Strategic Economic Plan</w:t>
      </w:r>
      <w:r w:rsidRPr="0097111A">
        <w:rPr>
          <w:rFonts w:cs="Arial"/>
          <w:szCs w:val="24"/>
        </w:rPr>
        <w:t>, in respect to enhancing connectivity to a priority cluster of major employment at Bermuda Park</w:t>
      </w:r>
      <w:r>
        <w:rPr>
          <w:rFonts w:cs="Arial"/>
          <w:szCs w:val="24"/>
        </w:rPr>
        <w:t xml:space="preserve"> </w:t>
      </w:r>
      <w:r w:rsidRPr="0097111A">
        <w:rPr>
          <w:rFonts w:cs="Arial"/>
          <w:szCs w:val="24"/>
        </w:rPr>
        <w:t>in order to enable future proposed development to maximise its potential in respect to job creation</w:t>
      </w:r>
      <w:r>
        <w:rPr>
          <w:rFonts w:cs="Arial"/>
          <w:szCs w:val="24"/>
        </w:rPr>
        <w:t>.</w:t>
      </w:r>
      <w:r>
        <w:t xml:space="preserve"> </w:t>
      </w:r>
    </w:p>
    <w:p w:rsidR="0057314D" w:rsidRDefault="0057314D" w:rsidP="00D72E72">
      <w:pPr>
        <w:ind w:left="709" w:hanging="709"/>
      </w:pPr>
    </w:p>
    <w:p w:rsidR="00747146" w:rsidRDefault="0057314D" w:rsidP="00844BF1">
      <w:pPr>
        <w:ind w:left="709" w:hanging="709"/>
      </w:pPr>
      <w:r>
        <w:lastRenderedPageBreak/>
        <w:t>1.2</w:t>
      </w:r>
      <w:r>
        <w:tab/>
      </w:r>
      <w:r w:rsidR="00C87013">
        <w:t xml:space="preserve">The Business Case for </w:t>
      </w:r>
      <w:r w:rsidR="00D61686">
        <w:t xml:space="preserve">Getting West Nuneaton Moving: Bermuda Connection </w:t>
      </w:r>
      <w:r w:rsidR="001C2174">
        <w:t>emphasises that the potential</w:t>
      </w:r>
      <w:r w:rsidR="00C87013">
        <w:t xml:space="preserve"> scheme would yield a substantial level of benefits</w:t>
      </w:r>
      <w:r w:rsidR="00747146">
        <w:t xml:space="preserve">, an example of which is presented below: </w:t>
      </w:r>
    </w:p>
    <w:p w:rsidR="00747146" w:rsidRDefault="00747146" w:rsidP="00844BF1">
      <w:pPr>
        <w:ind w:left="709" w:hanging="709"/>
      </w:pPr>
    </w:p>
    <w:p w:rsidR="00747146" w:rsidRPr="00277311" w:rsidRDefault="00747146" w:rsidP="00747146">
      <w:pPr>
        <w:ind w:left="709" w:hanging="709"/>
        <w:rPr>
          <w:rFonts w:cs="Arial"/>
          <w:color w:val="222222"/>
          <w:szCs w:val="24"/>
        </w:rPr>
      </w:pPr>
      <w:r>
        <w:tab/>
      </w:r>
      <w:r w:rsidRPr="00277311">
        <w:rPr>
          <w:rFonts w:cs="Arial"/>
          <w:color w:val="222222"/>
          <w:szCs w:val="24"/>
        </w:rPr>
        <w:t xml:space="preserve">Summary of </w:t>
      </w:r>
      <w:r w:rsidR="00E56F9A">
        <w:rPr>
          <w:rFonts w:cs="Arial"/>
          <w:color w:val="222222"/>
          <w:szCs w:val="24"/>
        </w:rPr>
        <w:t xml:space="preserve">Key </w:t>
      </w:r>
      <w:r w:rsidRPr="00277311">
        <w:rPr>
          <w:rFonts w:cs="Arial"/>
          <w:color w:val="222222"/>
          <w:szCs w:val="24"/>
        </w:rPr>
        <w:t>Quantified Benefits taken from Business Case for Getting West Nuneaton Moving: Bermuda Connection WCC Growth Fund:</w:t>
      </w:r>
    </w:p>
    <w:p w:rsidR="00747146" w:rsidRPr="00747146" w:rsidRDefault="00747146" w:rsidP="00747146">
      <w:pPr>
        <w:rPr>
          <w:rFonts w:cs="Arial"/>
          <w:color w:val="222222"/>
          <w:szCs w:val="24"/>
        </w:rPr>
      </w:pPr>
    </w:p>
    <w:p w:rsidR="00747146" w:rsidRDefault="00747146" w:rsidP="00747146">
      <w:pPr>
        <w:ind w:firstLine="709"/>
        <w:rPr>
          <w:rFonts w:cs="Arial"/>
          <w:color w:val="222222"/>
          <w:szCs w:val="24"/>
        </w:rPr>
      </w:pPr>
      <w:r w:rsidRPr="00747146">
        <w:rPr>
          <w:rFonts w:cs="Arial"/>
          <w:color w:val="222222"/>
          <w:szCs w:val="24"/>
        </w:rPr>
        <w:t>Present Value of Benefits:</w:t>
      </w:r>
    </w:p>
    <w:p w:rsidR="00747146" w:rsidRDefault="00747146" w:rsidP="00747146">
      <w:pPr>
        <w:pStyle w:val="ListParagraph"/>
        <w:numPr>
          <w:ilvl w:val="0"/>
          <w:numId w:val="42"/>
        </w:numPr>
        <w:rPr>
          <w:rFonts w:cs="Arial"/>
          <w:color w:val="222222"/>
          <w:szCs w:val="24"/>
        </w:rPr>
      </w:pPr>
      <w:r>
        <w:rPr>
          <w:rFonts w:cs="Arial"/>
          <w:color w:val="222222"/>
          <w:szCs w:val="24"/>
        </w:rPr>
        <w:t>The</w:t>
      </w:r>
      <w:r w:rsidRPr="00747146">
        <w:rPr>
          <w:rFonts w:cs="Arial"/>
          <w:color w:val="222222"/>
          <w:szCs w:val="24"/>
        </w:rPr>
        <w:t xml:space="preserve"> scheme is projected to generate transport journey time benefits of over £60m over a 60 year scheme life because it creates a</w:t>
      </w:r>
      <w:r>
        <w:rPr>
          <w:rFonts w:cs="Arial"/>
          <w:color w:val="222222"/>
          <w:szCs w:val="24"/>
        </w:rPr>
        <w:t xml:space="preserve"> </w:t>
      </w:r>
      <w:r w:rsidRPr="00747146">
        <w:rPr>
          <w:rFonts w:cs="Arial"/>
          <w:color w:val="222222"/>
          <w:szCs w:val="24"/>
        </w:rPr>
        <w:t xml:space="preserve">new route and </w:t>
      </w:r>
      <w:r>
        <w:rPr>
          <w:rFonts w:cs="Arial"/>
          <w:color w:val="222222"/>
          <w:szCs w:val="24"/>
        </w:rPr>
        <w:t xml:space="preserve">contributes towards </w:t>
      </w:r>
      <w:r w:rsidRPr="00747146">
        <w:rPr>
          <w:rFonts w:cs="Arial"/>
          <w:color w:val="222222"/>
          <w:szCs w:val="24"/>
        </w:rPr>
        <w:t>reliev</w:t>
      </w:r>
      <w:r w:rsidR="003C1E85">
        <w:rPr>
          <w:rFonts w:cs="Arial"/>
          <w:color w:val="222222"/>
          <w:szCs w:val="24"/>
        </w:rPr>
        <w:t>ing</w:t>
      </w:r>
      <w:r w:rsidRPr="00747146">
        <w:rPr>
          <w:rFonts w:cs="Arial"/>
          <w:color w:val="222222"/>
          <w:szCs w:val="24"/>
        </w:rPr>
        <w:t xml:space="preserve"> conges</w:t>
      </w:r>
      <w:r>
        <w:rPr>
          <w:rFonts w:cs="Arial"/>
          <w:color w:val="222222"/>
          <w:szCs w:val="24"/>
        </w:rPr>
        <w:t xml:space="preserve">tion on </w:t>
      </w:r>
      <w:r w:rsidRPr="00747146">
        <w:rPr>
          <w:rFonts w:cs="Arial"/>
          <w:color w:val="222222"/>
          <w:szCs w:val="24"/>
        </w:rPr>
        <w:t>existing route</w:t>
      </w:r>
      <w:r>
        <w:rPr>
          <w:rFonts w:cs="Arial"/>
          <w:color w:val="222222"/>
          <w:szCs w:val="24"/>
        </w:rPr>
        <w:t>s</w:t>
      </w:r>
      <w:r w:rsidRPr="00747146">
        <w:rPr>
          <w:rFonts w:cs="Arial"/>
          <w:color w:val="222222"/>
          <w:szCs w:val="24"/>
        </w:rPr>
        <w:t>;</w:t>
      </w:r>
      <w:r>
        <w:rPr>
          <w:rFonts w:cs="Arial"/>
          <w:color w:val="222222"/>
          <w:szCs w:val="24"/>
        </w:rPr>
        <w:t xml:space="preserve"> and</w:t>
      </w:r>
    </w:p>
    <w:p w:rsidR="00747146" w:rsidRPr="00747146" w:rsidRDefault="00747146" w:rsidP="00747146">
      <w:pPr>
        <w:pStyle w:val="ListParagraph"/>
        <w:numPr>
          <w:ilvl w:val="0"/>
          <w:numId w:val="42"/>
        </w:numPr>
        <w:rPr>
          <w:rFonts w:cs="Arial"/>
          <w:color w:val="222222"/>
          <w:szCs w:val="24"/>
        </w:rPr>
      </w:pPr>
      <w:r>
        <w:rPr>
          <w:rFonts w:cs="Arial"/>
          <w:color w:val="222222"/>
          <w:szCs w:val="24"/>
        </w:rPr>
        <w:t xml:space="preserve">The </w:t>
      </w:r>
      <w:r w:rsidRPr="00747146">
        <w:rPr>
          <w:rFonts w:cs="Arial"/>
          <w:color w:val="222222"/>
          <w:szCs w:val="24"/>
        </w:rPr>
        <w:t>60 year benefit assessment excluded any benefits ass</w:t>
      </w:r>
      <w:r>
        <w:rPr>
          <w:rFonts w:cs="Arial"/>
          <w:color w:val="222222"/>
          <w:szCs w:val="24"/>
        </w:rPr>
        <w:t>ociated with employment growth, i.e. agglomeration benefits</w:t>
      </w:r>
      <w:r w:rsidRPr="00747146">
        <w:rPr>
          <w:rFonts w:cs="Arial"/>
          <w:color w:val="222222"/>
          <w:szCs w:val="24"/>
        </w:rPr>
        <w:t>, and therefore, the effect of the main highway packages, such as the Bermuda Connection Project, could be to contri</w:t>
      </w:r>
      <w:r>
        <w:rPr>
          <w:rFonts w:cs="Arial"/>
          <w:color w:val="222222"/>
          <w:szCs w:val="24"/>
        </w:rPr>
        <w:t>bute tow</w:t>
      </w:r>
      <w:r w:rsidRPr="00747146">
        <w:rPr>
          <w:rFonts w:cs="Arial"/>
          <w:color w:val="222222"/>
          <w:szCs w:val="24"/>
        </w:rPr>
        <w:t>a</w:t>
      </w:r>
      <w:r>
        <w:rPr>
          <w:rFonts w:cs="Arial"/>
          <w:color w:val="222222"/>
          <w:szCs w:val="24"/>
        </w:rPr>
        <w:t>r</w:t>
      </w:r>
      <w:r w:rsidRPr="00747146">
        <w:rPr>
          <w:rFonts w:cs="Arial"/>
          <w:color w:val="222222"/>
          <w:szCs w:val="24"/>
        </w:rPr>
        <w:t>ds supporting an additional £110 million Gross Value Added (GVA) by 2021 or around 1,600 additional new jobs over and above projections, with 565 of these new additional jobs being created along the A444 corridor in Nuneaton</w:t>
      </w:r>
      <w:r>
        <w:rPr>
          <w:rFonts w:cs="Arial"/>
          <w:color w:val="222222"/>
          <w:szCs w:val="24"/>
        </w:rPr>
        <w:t>.</w:t>
      </w:r>
    </w:p>
    <w:p w:rsidR="00747146" w:rsidRDefault="00747146" w:rsidP="00844BF1">
      <w:pPr>
        <w:ind w:left="709" w:hanging="709"/>
      </w:pPr>
    </w:p>
    <w:p w:rsidR="00A24F12" w:rsidRDefault="00747146" w:rsidP="00747146">
      <w:pPr>
        <w:ind w:left="709"/>
      </w:pPr>
      <w:r>
        <w:t>Th</w:t>
      </w:r>
      <w:r w:rsidR="00C87013">
        <w:t xml:space="preserve">e initial </w:t>
      </w:r>
      <w:r w:rsidR="00844BF1">
        <w:t>scheme had an estimated</w:t>
      </w:r>
      <w:r w:rsidR="00844BF1" w:rsidRPr="00844BF1">
        <w:t xml:space="preserve"> </w:t>
      </w:r>
      <w:r w:rsidR="00844BF1">
        <w:t xml:space="preserve">capital cost of </w:t>
      </w:r>
      <w:r w:rsidR="00C87013">
        <w:t>£3.7</w:t>
      </w:r>
      <w:r w:rsidR="00474850">
        <w:t>02</w:t>
      </w:r>
      <w:r w:rsidR="00513677">
        <w:t xml:space="preserve"> </w:t>
      </w:r>
      <w:r w:rsidR="00844BF1">
        <w:t>million, a</w:t>
      </w:r>
      <w:r w:rsidR="00513677">
        <w:t>nd a</w:t>
      </w:r>
      <w:r w:rsidR="00C931B8">
        <w:t xml:space="preserve"> Benefit Cost Ratio of 5.9:1 and o</w:t>
      </w:r>
      <w:r w:rsidR="001C2174">
        <w:t xml:space="preserve">n the basis of </w:t>
      </w:r>
      <w:r w:rsidR="00C87013">
        <w:t xml:space="preserve">the </w:t>
      </w:r>
      <w:r w:rsidR="001C2174">
        <w:t>strength of the business case,</w:t>
      </w:r>
      <w:r w:rsidR="003E2C2F">
        <w:t xml:space="preserve"> at its meeting on 28 October 2014, </w:t>
      </w:r>
      <w:r w:rsidR="001C2174">
        <w:t xml:space="preserve">the County Council </w:t>
      </w:r>
      <w:r w:rsidR="003E2C2F">
        <w:t>ap</w:t>
      </w:r>
      <w:r w:rsidR="00C931B8">
        <w:t>proved the allocation of £3.202</w:t>
      </w:r>
      <w:r w:rsidR="00513677">
        <w:t xml:space="preserve"> </w:t>
      </w:r>
      <w:r w:rsidR="003E2C2F">
        <w:t xml:space="preserve">million of the WCC Capital Growth </w:t>
      </w:r>
      <w:r w:rsidR="003C1E85">
        <w:t>F</w:t>
      </w:r>
      <w:r w:rsidR="003E2C2F">
        <w:t xml:space="preserve">und to part fund the proposed scheme.  </w:t>
      </w:r>
      <w:r w:rsidR="00A24F12">
        <w:t>The Council's resolution included the following requirements:</w:t>
      </w:r>
    </w:p>
    <w:p w:rsidR="00A24F12" w:rsidRDefault="00A24F12" w:rsidP="00A24F12">
      <w:pPr>
        <w:pStyle w:val="Default"/>
      </w:pPr>
    </w:p>
    <w:p w:rsidR="00A24F12" w:rsidRDefault="00A24F12" w:rsidP="00A24F12">
      <w:pPr>
        <w:pStyle w:val="Default"/>
        <w:ind w:left="993"/>
        <w:rPr>
          <w:sz w:val="23"/>
          <w:szCs w:val="23"/>
        </w:rPr>
      </w:pPr>
      <w:r>
        <w:rPr>
          <w:sz w:val="23"/>
          <w:szCs w:val="23"/>
        </w:rPr>
        <w:t xml:space="preserve">"(3) Agree that the Capital Growth Fund allocation to the project should be reduced on a £ for £ basis if alternative sources of funding (over the £500,000 from the Growing Places Fund needed to fully fund the project) become available. </w:t>
      </w:r>
    </w:p>
    <w:p w:rsidR="00A24F12" w:rsidRDefault="00A24F12" w:rsidP="00A24F12">
      <w:pPr>
        <w:pStyle w:val="Default"/>
        <w:ind w:left="993"/>
        <w:rPr>
          <w:sz w:val="23"/>
          <w:szCs w:val="23"/>
        </w:rPr>
      </w:pPr>
    </w:p>
    <w:p w:rsidR="00A24F12" w:rsidRDefault="00A24F12" w:rsidP="00A24F12">
      <w:pPr>
        <w:pStyle w:val="Default"/>
        <w:ind w:left="993"/>
        <w:rPr>
          <w:sz w:val="23"/>
          <w:szCs w:val="23"/>
        </w:rPr>
      </w:pPr>
      <w:r>
        <w:rPr>
          <w:sz w:val="23"/>
          <w:szCs w:val="23"/>
        </w:rPr>
        <w:t>(4) Support the provision that any additional funding above £3.702 million required to meet additional costs, is found from within the Transport and Highways Capital Programme."</w:t>
      </w:r>
    </w:p>
    <w:p w:rsidR="00A24F12" w:rsidRDefault="00A24F12" w:rsidP="00EE4E2E">
      <w:pPr>
        <w:ind w:left="709"/>
      </w:pPr>
    </w:p>
    <w:p w:rsidR="00C87013" w:rsidRPr="0057314D" w:rsidRDefault="003E2C2F" w:rsidP="00EE4E2E">
      <w:pPr>
        <w:ind w:left="709"/>
      </w:pPr>
      <w:r>
        <w:t xml:space="preserve">Council was informed that the next steps would include the further development of the preliminary design proposals associated with the scheme and undertaking a consultation </w:t>
      </w:r>
      <w:r w:rsidRPr="00B10459">
        <w:rPr>
          <w:rFonts w:eastAsia="Calibri" w:cs="Arial"/>
          <w:szCs w:val="24"/>
          <w:lang w:eastAsia="en-US"/>
        </w:rPr>
        <w:t xml:space="preserve">with local communities, interest groups and those </w:t>
      </w:r>
      <w:r w:rsidR="00130DCE">
        <w:rPr>
          <w:rFonts w:eastAsia="Calibri" w:cs="Arial"/>
          <w:szCs w:val="24"/>
          <w:lang w:eastAsia="en-US"/>
        </w:rPr>
        <w:t>affect</w:t>
      </w:r>
      <w:r w:rsidRPr="00B10459">
        <w:rPr>
          <w:rFonts w:eastAsia="Calibri" w:cs="Arial"/>
          <w:szCs w:val="24"/>
          <w:lang w:eastAsia="en-US"/>
        </w:rPr>
        <w:t>ed by the</w:t>
      </w:r>
      <w:r>
        <w:rPr>
          <w:rFonts w:eastAsia="Calibri" w:cs="Arial"/>
          <w:szCs w:val="24"/>
          <w:lang w:eastAsia="en-US"/>
        </w:rPr>
        <w:t xml:space="preserve"> proposals.</w:t>
      </w:r>
      <w:r w:rsidR="00D72E72">
        <w:rPr>
          <w:rFonts w:eastAsia="Calibri" w:cs="Arial"/>
          <w:szCs w:val="24"/>
          <w:lang w:eastAsia="en-US"/>
        </w:rPr>
        <w:t xml:space="preserve">  Council was also informed that Cabinet would consider the consultation response and take the decision on </w:t>
      </w:r>
      <w:r w:rsidR="001C2174">
        <w:rPr>
          <w:rFonts w:eastAsia="Calibri" w:cs="Arial"/>
          <w:szCs w:val="24"/>
          <w:lang w:eastAsia="en-US"/>
        </w:rPr>
        <w:t xml:space="preserve">the future </w:t>
      </w:r>
      <w:r w:rsidR="00F0246F">
        <w:rPr>
          <w:rFonts w:eastAsia="Calibri" w:cs="Arial"/>
          <w:szCs w:val="24"/>
          <w:lang w:eastAsia="en-US"/>
        </w:rPr>
        <w:t xml:space="preserve">of </w:t>
      </w:r>
      <w:r w:rsidR="001C2174">
        <w:rPr>
          <w:rFonts w:eastAsia="Calibri" w:cs="Arial"/>
          <w:szCs w:val="24"/>
          <w:lang w:eastAsia="en-US"/>
        </w:rPr>
        <w:t>the scheme</w:t>
      </w:r>
      <w:r w:rsidR="00D72E72">
        <w:rPr>
          <w:rFonts w:eastAsia="Calibri" w:cs="Arial"/>
          <w:szCs w:val="24"/>
          <w:lang w:eastAsia="en-US"/>
        </w:rPr>
        <w:t>.</w:t>
      </w:r>
    </w:p>
    <w:p w:rsidR="00C87013" w:rsidRDefault="00C87013" w:rsidP="00C87013">
      <w:pPr>
        <w:ind w:left="709" w:hanging="709"/>
      </w:pPr>
    </w:p>
    <w:p w:rsidR="008C1296" w:rsidRDefault="0057314D" w:rsidP="00B8630B">
      <w:pPr>
        <w:ind w:left="709" w:hanging="709"/>
        <w:rPr>
          <w:rFonts w:cs="Arial"/>
          <w:color w:val="222222"/>
          <w:szCs w:val="24"/>
        </w:rPr>
      </w:pPr>
      <w:r>
        <w:t>1.3</w:t>
      </w:r>
      <w:r w:rsidR="003E2C2F">
        <w:tab/>
        <w:t xml:space="preserve">In December 2014, Nuneaton and Bedworth Borough Council </w:t>
      </w:r>
      <w:r w:rsidR="005D56B3">
        <w:t xml:space="preserve">successfully </w:t>
      </w:r>
      <w:r w:rsidR="003E2C2F">
        <w:t>bid for a £500</w:t>
      </w:r>
      <w:r w:rsidR="001C2479">
        <w:t>,000</w:t>
      </w:r>
      <w:r w:rsidR="003E2C2F">
        <w:t xml:space="preserve"> </w:t>
      </w:r>
      <w:r w:rsidR="003E2C2F" w:rsidRPr="00DD771A">
        <w:rPr>
          <w:rFonts w:cs="Arial"/>
          <w:color w:val="222222"/>
          <w:szCs w:val="24"/>
        </w:rPr>
        <w:t>Gr</w:t>
      </w:r>
      <w:r w:rsidR="003E2C2F">
        <w:rPr>
          <w:rFonts w:cs="Arial"/>
          <w:color w:val="222222"/>
          <w:szCs w:val="24"/>
        </w:rPr>
        <w:t xml:space="preserve">owing Places Fund Grant contribution towards the cost of the proposed scheme from </w:t>
      </w:r>
      <w:r w:rsidR="005265EB">
        <w:rPr>
          <w:rFonts w:cs="Arial"/>
          <w:color w:val="222222"/>
          <w:szCs w:val="24"/>
        </w:rPr>
        <w:t xml:space="preserve">the </w:t>
      </w:r>
      <w:r w:rsidR="003E2C2F">
        <w:rPr>
          <w:rFonts w:cs="Arial"/>
          <w:color w:val="222222"/>
          <w:szCs w:val="24"/>
        </w:rPr>
        <w:t>C</w:t>
      </w:r>
      <w:r w:rsidR="00FA0089">
        <w:rPr>
          <w:rFonts w:cs="Arial"/>
          <w:color w:val="222222"/>
          <w:szCs w:val="24"/>
        </w:rPr>
        <w:t>WLEP</w:t>
      </w:r>
      <w:r w:rsidR="003E2C2F">
        <w:rPr>
          <w:rFonts w:cs="Arial"/>
          <w:color w:val="222222"/>
          <w:szCs w:val="24"/>
        </w:rPr>
        <w:t xml:space="preserve">.  </w:t>
      </w:r>
      <w:r w:rsidR="00B8630B">
        <w:rPr>
          <w:rFonts w:cs="Arial"/>
          <w:color w:val="222222"/>
          <w:szCs w:val="24"/>
        </w:rPr>
        <w:t xml:space="preserve">A legal agreement between NBBC and WCC has been </w:t>
      </w:r>
      <w:r w:rsidR="00FA0089">
        <w:rPr>
          <w:rFonts w:cs="Arial"/>
          <w:color w:val="222222"/>
          <w:szCs w:val="24"/>
        </w:rPr>
        <w:t>complet</w:t>
      </w:r>
      <w:r w:rsidR="00B8630B">
        <w:rPr>
          <w:rFonts w:cs="Arial"/>
          <w:color w:val="222222"/>
          <w:szCs w:val="24"/>
        </w:rPr>
        <w:t>ed</w:t>
      </w:r>
      <w:r w:rsidR="00B84D4B">
        <w:rPr>
          <w:rFonts w:cs="Arial"/>
          <w:color w:val="222222"/>
          <w:szCs w:val="24"/>
        </w:rPr>
        <w:t>, which authorises</w:t>
      </w:r>
      <w:r w:rsidR="00B8630B">
        <w:rPr>
          <w:rFonts w:cs="Arial"/>
          <w:color w:val="222222"/>
          <w:szCs w:val="24"/>
        </w:rPr>
        <w:t xml:space="preserve"> the transfer of the £500</w:t>
      </w:r>
      <w:r w:rsidR="001C2479">
        <w:rPr>
          <w:rFonts w:cs="Arial"/>
          <w:color w:val="222222"/>
          <w:szCs w:val="24"/>
        </w:rPr>
        <w:t>,000</w:t>
      </w:r>
      <w:r w:rsidR="00B8630B">
        <w:rPr>
          <w:rFonts w:cs="Arial"/>
          <w:color w:val="222222"/>
          <w:szCs w:val="24"/>
        </w:rPr>
        <w:t xml:space="preserve"> contribution to the County Council.  </w:t>
      </w:r>
    </w:p>
    <w:p w:rsidR="008C1296" w:rsidRDefault="008C1296" w:rsidP="00B8630B">
      <w:pPr>
        <w:ind w:left="709" w:hanging="709"/>
        <w:rPr>
          <w:rFonts w:cs="Arial"/>
          <w:color w:val="222222"/>
          <w:szCs w:val="24"/>
        </w:rPr>
      </w:pPr>
    </w:p>
    <w:p w:rsidR="003E2C2F" w:rsidRPr="008C1296" w:rsidRDefault="008C1296" w:rsidP="008C1296">
      <w:pPr>
        <w:ind w:left="709" w:hanging="709"/>
      </w:pPr>
      <w:r>
        <w:rPr>
          <w:rFonts w:cs="Arial"/>
          <w:color w:val="222222"/>
          <w:szCs w:val="24"/>
        </w:rPr>
        <w:lastRenderedPageBreak/>
        <w:t>1.4</w:t>
      </w:r>
      <w:r>
        <w:rPr>
          <w:rFonts w:cs="Arial"/>
          <w:color w:val="222222"/>
          <w:szCs w:val="24"/>
        </w:rPr>
        <w:tab/>
        <w:t>T</w:t>
      </w:r>
      <w:r w:rsidR="00B8630B">
        <w:t xml:space="preserve">he </w:t>
      </w:r>
      <w:r w:rsidR="003E2C2F">
        <w:t xml:space="preserve">two sources of funding </w:t>
      </w:r>
      <w:r>
        <w:t xml:space="preserve">highlighted in </w:t>
      </w:r>
      <w:r w:rsidR="003C1E85">
        <w:t>p</w:t>
      </w:r>
      <w:r>
        <w:t xml:space="preserve">aragraphs 1.2 and 1.3 </w:t>
      </w:r>
      <w:r w:rsidR="003E2C2F">
        <w:t>comprise the £3.702</w:t>
      </w:r>
      <w:r w:rsidR="00513677">
        <w:t xml:space="preserve"> </w:t>
      </w:r>
      <w:r w:rsidR="003E2C2F">
        <w:t xml:space="preserve">million capital funding </w:t>
      </w:r>
      <w:r w:rsidR="00D61686">
        <w:t xml:space="preserve">currently </w:t>
      </w:r>
      <w:r w:rsidR="003E2C2F">
        <w:t>allocated to the scheme.</w:t>
      </w:r>
      <w:r w:rsidR="00B8630B">
        <w:t xml:space="preserve">  </w:t>
      </w:r>
    </w:p>
    <w:p w:rsidR="00AC32BD" w:rsidRDefault="00AC32BD" w:rsidP="00DD3A7D">
      <w:pPr>
        <w:ind w:left="709" w:hanging="709"/>
      </w:pPr>
    </w:p>
    <w:p w:rsidR="00DD3A7D" w:rsidRDefault="008C1296" w:rsidP="00EB1CDF">
      <w:pPr>
        <w:ind w:left="709" w:hanging="709"/>
      </w:pPr>
      <w:r>
        <w:t>1.5</w:t>
      </w:r>
      <w:r w:rsidR="003E2C2F">
        <w:tab/>
      </w:r>
      <w:r w:rsidR="00B8630B">
        <w:t>In February 2015, the County Council commissioned work to progress further development of the proposed scheme</w:t>
      </w:r>
      <w:r w:rsidR="00996F31">
        <w:t>,</w:t>
      </w:r>
      <w:r w:rsidR="00D72E72">
        <w:t xml:space="preserve"> including preliminary design, whic</w:t>
      </w:r>
      <w:r w:rsidR="008E6622">
        <w:t>h was</w:t>
      </w:r>
      <w:r w:rsidR="00D72E72">
        <w:t xml:space="preserve"> to be p</w:t>
      </w:r>
      <w:r w:rsidR="00445B10">
        <w:t xml:space="preserve">resented </w:t>
      </w:r>
      <w:r w:rsidR="00D72E72">
        <w:t>to the local communi</w:t>
      </w:r>
      <w:r w:rsidR="00EB1CDF">
        <w:t>ty</w:t>
      </w:r>
      <w:r w:rsidR="00D72E72">
        <w:t xml:space="preserve">.  </w:t>
      </w:r>
      <w:r w:rsidR="00DD3A7D">
        <w:t xml:space="preserve">At a Decision Making meeting </w:t>
      </w:r>
      <w:r w:rsidR="00B84D4B">
        <w:t xml:space="preserve">held </w:t>
      </w:r>
      <w:r w:rsidR="00DD3A7D">
        <w:t xml:space="preserve">in June 2015, the Cabinet Portfolio Holder for Transport and Planning approved the </w:t>
      </w:r>
      <w:r w:rsidR="00A11BC3">
        <w:t xml:space="preserve">arrangements for consultation including the preliminary design </w:t>
      </w:r>
      <w:r w:rsidR="00DD3A7D">
        <w:t xml:space="preserve">proposals </w:t>
      </w:r>
      <w:r w:rsidR="00A11BC3">
        <w:t xml:space="preserve">which would form the basis </w:t>
      </w:r>
      <w:r w:rsidR="00DD3A7D">
        <w:t>of the consultation.</w:t>
      </w:r>
    </w:p>
    <w:p w:rsidR="00571144" w:rsidRDefault="00571144" w:rsidP="000E58AC">
      <w:pPr>
        <w:ind w:left="709" w:hanging="709"/>
      </w:pPr>
    </w:p>
    <w:p w:rsidR="00E43F95" w:rsidRDefault="008C1296" w:rsidP="004C1E4B">
      <w:pPr>
        <w:ind w:left="709" w:hanging="709"/>
      </w:pPr>
      <w:r>
        <w:t>1.6</w:t>
      </w:r>
      <w:r w:rsidR="004D6B96">
        <w:tab/>
      </w:r>
      <w:r w:rsidR="00327FBE">
        <w:t>The preliminary design proposal</w:t>
      </w:r>
      <w:r w:rsidR="00E81AD2">
        <w:t>s</w:t>
      </w:r>
      <w:r w:rsidR="00327FBE">
        <w:t xml:space="preserve"> presented to the local community</w:t>
      </w:r>
      <w:r w:rsidR="00990734">
        <w:t xml:space="preserve"> included a</w:t>
      </w:r>
      <w:r w:rsidR="00AC32BD">
        <w:t xml:space="preserve">dditional components </w:t>
      </w:r>
      <w:r w:rsidR="00CC0E7D">
        <w:t xml:space="preserve">to </w:t>
      </w:r>
      <w:r w:rsidR="004C1E4B">
        <w:t xml:space="preserve">the </w:t>
      </w:r>
      <w:r w:rsidR="00CC0E7D">
        <w:t xml:space="preserve">initial scheme presented to Council in October 2014, which are </w:t>
      </w:r>
      <w:r w:rsidR="00AC32BD">
        <w:t xml:space="preserve">aimed at </w:t>
      </w:r>
      <w:r w:rsidR="00990734">
        <w:t>reducing the impact of the scheme on affected local residents</w:t>
      </w:r>
      <w:r w:rsidR="00EB1CDF">
        <w:t xml:space="preserve"> whose properties or businesses are adjacent to the </w:t>
      </w:r>
      <w:r w:rsidR="00F0246F">
        <w:t xml:space="preserve">roads included in the </w:t>
      </w:r>
      <w:r w:rsidR="00EB1CDF">
        <w:t>proposed link route</w:t>
      </w:r>
      <w:r w:rsidR="00990734">
        <w:t xml:space="preserve">.  </w:t>
      </w:r>
      <w:r w:rsidR="00E43F95">
        <w:t xml:space="preserve">Further details about the </w:t>
      </w:r>
      <w:r w:rsidR="00301C06">
        <w:t xml:space="preserve">additional components </w:t>
      </w:r>
      <w:r w:rsidR="00E43F95">
        <w:t>are</w:t>
      </w:r>
      <w:r w:rsidR="00677865">
        <w:t xml:space="preserve"> detailed in Table 1 </w:t>
      </w:r>
      <w:r w:rsidR="000532BB">
        <w:t xml:space="preserve">at Appendix </w:t>
      </w:r>
      <w:r w:rsidR="00292D2E">
        <w:t>A</w:t>
      </w:r>
      <w:r w:rsidR="00275AE9">
        <w:t xml:space="preserve"> of this report</w:t>
      </w:r>
      <w:r w:rsidR="00E43F95">
        <w:t>.</w:t>
      </w:r>
    </w:p>
    <w:p w:rsidR="00E43F95" w:rsidRDefault="00E43F95" w:rsidP="000E58AC">
      <w:pPr>
        <w:ind w:left="709" w:hanging="709"/>
      </w:pPr>
    </w:p>
    <w:p w:rsidR="00CB18C4" w:rsidRDefault="008C1296" w:rsidP="00844BF1">
      <w:pPr>
        <w:ind w:left="709" w:hanging="709"/>
      </w:pPr>
      <w:r>
        <w:rPr>
          <w:szCs w:val="24"/>
        </w:rPr>
        <w:t>1.7</w:t>
      </w:r>
      <w:r w:rsidR="0057314D" w:rsidRPr="0057314D">
        <w:rPr>
          <w:szCs w:val="24"/>
        </w:rPr>
        <w:tab/>
      </w:r>
      <w:r w:rsidR="000D3258">
        <w:rPr>
          <w:szCs w:val="24"/>
        </w:rPr>
        <w:t>Because of these improvements, t</w:t>
      </w:r>
      <w:r w:rsidR="0057314D">
        <w:rPr>
          <w:szCs w:val="24"/>
        </w:rPr>
        <w:t xml:space="preserve">he </w:t>
      </w:r>
      <w:r w:rsidR="000D3258">
        <w:rPr>
          <w:szCs w:val="24"/>
        </w:rPr>
        <w:t xml:space="preserve">consultation version of the </w:t>
      </w:r>
      <w:r w:rsidR="0057314D">
        <w:t xml:space="preserve">scheme </w:t>
      </w:r>
      <w:r w:rsidR="005D56B3">
        <w:t>ha</w:t>
      </w:r>
      <w:r w:rsidR="00A11BC3">
        <w:t>s</w:t>
      </w:r>
      <w:r w:rsidR="00844BF1">
        <w:t xml:space="preserve"> a</w:t>
      </w:r>
      <w:r w:rsidR="002C7036">
        <w:t xml:space="preserve">n increased </w:t>
      </w:r>
      <w:r w:rsidR="00C931B8">
        <w:t xml:space="preserve">projected </w:t>
      </w:r>
      <w:r w:rsidR="00844BF1">
        <w:t xml:space="preserve">capital </w:t>
      </w:r>
      <w:r w:rsidR="00C931B8">
        <w:t>cost of £5.939</w:t>
      </w:r>
      <w:r w:rsidR="00513677">
        <w:t xml:space="preserve"> </w:t>
      </w:r>
      <w:r w:rsidR="00C931B8">
        <w:t>million and a</w:t>
      </w:r>
      <w:r w:rsidR="00513677">
        <w:t>s a result a reduced</w:t>
      </w:r>
      <w:r w:rsidR="00C931B8">
        <w:t xml:space="preserve"> </w:t>
      </w:r>
      <w:r w:rsidR="0057314D">
        <w:t>Benefit Cost Ratio of 5.0:1 which</w:t>
      </w:r>
      <w:r w:rsidR="00513677">
        <w:t>,</w:t>
      </w:r>
      <w:r w:rsidR="0057314D">
        <w:t xml:space="preserve"> according to the Department for Transpo</w:t>
      </w:r>
      <w:r>
        <w:t xml:space="preserve">rt’s Value for Money Assessment </w:t>
      </w:r>
      <w:r w:rsidR="0057314D">
        <w:t xml:space="preserve">Note, </w:t>
      </w:r>
      <w:r w:rsidR="00513677">
        <w:t xml:space="preserve">still </w:t>
      </w:r>
      <w:r w:rsidR="0057314D">
        <w:t>represents very high value for money.</w:t>
      </w:r>
      <w:r w:rsidR="008E423D">
        <w:t xml:space="preserve">  However, the Business Case for the </w:t>
      </w:r>
      <w:r w:rsidR="008E423D" w:rsidRPr="008E423D">
        <w:t>Getting West Nuneaton Moving: Bermuda Connection</w:t>
      </w:r>
      <w:r w:rsidR="008E423D">
        <w:t xml:space="preserve"> </w:t>
      </w:r>
      <w:r w:rsidR="00AC5B07">
        <w:t xml:space="preserve">at the </w:t>
      </w:r>
      <w:r w:rsidR="001F626B">
        <w:t>initial</w:t>
      </w:r>
      <w:r w:rsidR="00AC5B07">
        <w:t xml:space="preserve"> capital cost of £3.702</w:t>
      </w:r>
      <w:r w:rsidR="004A50D5">
        <w:t xml:space="preserve"> </w:t>
      </w:r>
      <w:r w:rsidR="00AC5B07">
        <w:t xml:space="preserve">million </w:t>
      </w:r>
      <w:r w:rsidR="008E423D">
        <w:t>(as measured against the criteria for the WCC Capital Growth Fund) was, at 57.5%, the lowest of any scheme taken forward to date.  This would reduce further if the cost of the scheme increases.</w:t>
      </w:r>
    </w:p>
    <w:p w:rsidR="00CB18C4" w:rsidRDefault="00CB18C4" w:rsidP="00844BF1">
      <w:pPr>
        <w:ind w:left="709" w:hanging="709"/>
      </w:pPr>
    </w:p>
    <w:p w:rsidR="00CB18C4" w:rsidRDefault="00CB18C4" w:rsidP="00CB18C4">
      <w:pPr>
        <w:ind w:left="709" w:hanging="709"/>
      </w:pPr>
      <w:r>
        <w:t>1.8</w:t>
      </w:r>
      <w:r>
        <w:tab/>
        <w:t xml:space="preserve">As the Highway Authority, the County Council has responsibilities to manage and develop the local highway network in ways which promote the free, safe and convenient flow of traffic. The County Council also has wider responsibilities under both legislation and national and local policies to promote sustainability (including all of its social, economic and environmental elements).  Whilst the interests and views of the closest residents are a very important consideration, either the original or the consultation version of the scheme offers significant benefits to the wider West Nuneaton community and to the environment.  </w:t>
      </w:r>
    </w:p>
    <w:p w:rsidR="00CB18C4" w:rsidRDefault="00CB18C4" w:rsidP="00CB18C4">
      <w:pPr>
        <w:ind w:left="709" w:hanging="709"/>
      </w:pPr>
    </w:p>
    <w:p w:rsidR="00571144" w:rsidRDefault="00571144" w:rsidP="00277311">
      <w:pPr>
        <w:rPr>
          <w:b/>
          <w:sz w:val="28"/>
        </w:rPr>
      </w:pPr>
      <w:r>
        <w:rPr>
          <w:b/>
          <w:sz w:val="28"/>
        </w:rPr>
        <w:t>2</w:t>
      </w:r>
      <w:r w:rsidRPr="00E9733C">
        <w:rPr>
          <w:b/>
          <w:sz w:val="28"/>
        </w:rPr>
        <w:t>.0</w:t>
      </w:r>
      <w:r w:rsidRPr="00E9733C">
        <w:rPr>
          <w:b/>
          <w:sz w:val="28"/>
        </w:rPr>
        <w:tab/>
      </w:r>
      <w:r w:rsidR="003D65B0">
        <w:rPr>
          <w:b/>
          <w:sz w:val="28"/>
        </w:rPr>
        <w:t xml:space="preserve">Key Outcomes </w:t>
      </w:r>
      <w:r w:rsidR="00753AE9">
        <w:rPr>
          <w:b/>
          <w:sz w:val="28"/>
        </w:rPr>
        <w:t xml:space="preserve">of the </w:t>
      </w:r>
      <w:r>
        <w:rPr>
          <w:b/>
          <w:sz w:val="28"/>
        </w:rPr>
        <w:t xml:space="preserve">Consultation </w:t>
      </w:r>
    </w:p>
    <w:p w:rsidR="00571144" w:rsidRDefault="00571144" w:rsidP="000E58AC">
      <w:pPr>
        <w:ind w:left="709" w:hanging="709"/>
      </w:pPr>
    </w:p>
    <w:p w:rsidR="00445B10" w:rsidRDefault="00571144" w:rsidP="000E58AC">
      <w:pPr>
        <w:ind w:left="709" w:hanging="709"/>
      </w:pPr>
      <w:r>
        <w:t>2.1</w:t>
      </w:r>
      <w:r w:rsidR="00445B10">
        <w:tab/>
        <w:t>The consultation was held during an 8 week period</w:t>
      </w:r>
      <w:r w:rsidR="000E58AC">
        <w:t xml:space="preserve"> (Friday 14 August </w:t>
      </w:r>
      <w:r w:rsidR="00445B10">
        <w:t xml:space="preserve">2015 </w:t>
      </w:r>
      <w:r w:rsidR="000E58AC">
        <w:t xml:space="preserve">- Friday 9 October 2015).  </w:t>
      </w:r>
      <w:r w:rsidR="00A420EB">
        <w:t xml:space="preserve">County Council </w:t>
      </w:r>
      <w:r w:rsidR="000E58AC">
        <w:t>officers sought to engage widely with local residents in and around West Nuneaton</w:t>
      </w:r>
      <w:r w:rsidR="00A420EB">
        <w:t>,</w:t>
      </w:r>
      <w:r w:rsidR="000E58AC">
        <w:t xml:space="preserve"> who were given an opportunity to participate in the co</w:t>
      </w:r>
      <w:r w:rsidR="00ED763D">
        <w:t xml:space="preserve">nsultation through the </w:t>
      </w:r>
      <w:r w:rsidR="00A420EB">
        <w:t>measures</w:t>
      </w:r>
      <w:r w:rsidR="00ED763D">
        <w:t xml:space="preserve"> detailed </w:t>
      </w:r>
      <w:r w:rsidR="00292D2E">
        <w:t>at Appendix B</w:t>
      </w:r>
      <w:r w:rsidR="007D54C2">
        <w:t xml:space="preserve"> </w:t>
      </w:r>
      <w:r w:rsidR="003173CB">
        <w:t xml:space="preserve">and Appendix C </w:t>
      </w:r>
      <w:r w:rsidR="007D54C2">
        <w:t xml:space="preserve">in this report. </w:t>
      </w:r>
    </w:p>
    <w:p w:rsidR="004C21CE" w:rsidRDefault="004C21CE" w:rsidP="00B1037C">
      <w:pPr>
        <w:ind w:left="709" w:hanging="709"/>
      </w:pPr>
    </w:p>
    <w:p w:rsidR="004C21CE" w:rsidRDefault="00450598" w:rsidP="00B1037C">
      <w:pPr>
        <w:ind w:left="709" w:hanging="709"/>
      </w:pPr>
      <w:r>
        <w:t>2.2</w:t>
      </w:r>
      <w:r w:rsidR="00194B8A">
        <w:tab/>
      </w:r>
      <w:r w:rsidR="004C21CE" w:rsidRPr="0041273E">
        <w:t>In respect to </w:t>
      </w:r>
      <w:r w:rsidR="004C21CE">
        <w:t>the online element of the consultation, our Survey Monkey a</w:t>
      </w:r>
      <w:r w:rsidR="004C21CE" w:rsidRPr="0041273E">
        <w:t>pplication only allows one response to be issued per device. Survey Monkey also records IP addresses to enable officers to monitor if multiple devices are being used from one IP address. </w:t>
      </w:r>
      <w:r w:rsidR="003E19FD">
        <w:t xml:space="preserve"> A total of 35% of the </w:t>
      </w:r>
      <w:r w:rsidR="00FB5544">
        <w:t xml:space="preserve">overall </w:t>
      </w:r>
      <w:r w:rsidR="003E19FD">
        <w:t xml:space="preserve">responses forms were submitted online.  </w:t>
      </w:r>
    </w:p>
    <w:p w:rsidR="00B1037C" w:rsidRDefault="004C21CE" w:rsidP="004C21CE">
      <w:pPr>
        <w:ind w:left="709" w:hanging="709"/>
      </w:pPr>
      <w:r>
        <w:lastRenderedPageBreak/>
        <w:t>2.3</w:t>
      </w:r>
      <w:r>
        <w:tab/>
        <w:t>At the Local Consultation Events, the Bermuda Bridge Action Group (a group comprising local residents who are strongly opposed to the scheme) was allowed to display its literature i</w:t>
      </w:r>
      <w:r w:rsidR="001B77CA">
        <w:t>n order to increase public awareness of the issues</w:t>
      </w:r>
      <w:r>
        <w:t xml:space="preserve"> and </w:t>
      </w:r>
      <w:r w:rsidR="00FA0089">
        <w:t>w</w:t>
      </w:r>
      <w:r w:rsidR="003C1E85">
        <w:t>as</w:t>
      </w:r>
      <w:r w:rsidR="00FA0089">
        <w:t xml:space="preserve"> </w:t>
      </w:r>
      <w:r w:rsidR="003F6572">
        <w:t xml:space="preserve">also </w:t>
      </w:r>
      <w:r>
        <w:t xml:space="preserve">allowed to </w:t>
      </w:r>
      <w:r w:rsidR="000E58AC">
        <w:t>engage with visitors</w:t>
      </w:r>
      <w:r w:rsidR="003C3CBF">
        <w:t>.</w:t>
      </w:r>
      <w:r w:rsidR="00B1037C">
        <w:t xml:space="preserve">  </w:t>
      </w:r>
    </w:p>
    <w:p w:rsidR="004C21CE" w:rsidRDefault="004C21CE" w:rsidP="004C21CE">
      <w:pPr>
        <w:ind w:left="709" w:hanging="709"/>
      </w:pPr>
    </w:p>
    <w:p w:rsidR="000E58AC" w:rsidRDefault="0067399B" w:rsidP="0067399B">
      <w:pPr>
        <w:ind w:left="709" w:hanging="709"/>
      </w:pPr>
      <w:r>
        <w:t>2.4</w:t>
      </w:r>
      <w:r>
        <w:tab/>
        <w:t>The intention was for visitors to complete and submit a response form at the actual Local Consultation Event</w:t>
      </w:r>
      <w:r w:rsidR="00FB5544">
        <w:t>s</w:t>
      </w:r>
      <w:r>
        <w:t xml:space="preserve">.  However, some visitors </w:t>
      </w:r>
      <w:r w:rsidR="00BF6D33">
        <w:t>expre</w:t>
      </w:r>
      <w:r w:rsidR="008E423D">
        <w:t>ssed</w:t>
      </w:r>
      <w:r w:rsidR="00BF6D33">
        <w:t xml:space="preserve"> strong objections towards the proposed scheme </w:t>
      </w:r>
      <w:r w:rsidR="008E423D">
        <w:t xml:space="preserve">and </w:t>
      </w:r>
      <w:r w:rsidR="00BF6D33">
        <w:t>requested to be allowed to take away multiple copies of the response form in order to hand out to their neighbours.  This was permitted in order to avoid confrontation and also accusations that the County Council was preventing people from participating in the consultation.  However, this increased the possibility of some local residents who are opposed to the scheme submitting more than one response.</w:t>
      </w:r>
      <w:r w:rsidR="00B1037C">
        <w:t xml:space="preserve"> </w:t>
      </w:r>
      <w:r w:rsidR="003E19FD">
        <w:t xml:space="preserve"> A total of 65% of the </w:t>
      </w:r>
      <w:r w:rsidR="00FB5544">
        <w:t xml:space="preserve">overall response forms </w:t>
      </w:r>
      <w:r w:rsidR="003E19FD">
        <w:t xml:space="preserve">were </w:t>
      </w:r>
      <w:r w:rsidR="00AA5CE3">
        <w:t>submit</w:t>
      </w:r>
      <w:r w:rsidR="00D11286">
        <w:t xml:space="preserve">ted </w:t>
      </w:r>
      <w:r w:rsidR="00AA5CE3">
        <w:t xml:space="preserve">on </w:t>
      </w:r>
      <w:r w:rsidR="00FB5544">
        <w:t xml:space="preserve">paper based </w:t>
      </w:r>
      <w:r w:rsidR="00AA5CE3">
        <w:t>response forms</w:t>
      </w:r>
      <w:r w:rsidR="003E19FD">
        <w:t>.</w:t>
      </w:r>
    </w:p>
    <w:p w:rsidR="00445B10" w:rsidRDefault="00445B10" w:rsidP="00B8630B">
      <w:pPr>
        <w:ind w:left="709" w:hanging="709"/>
      </w:pPr>
    </w:p>
    <w:p w:rsidR="008E423D" w:rsidRDefault="0041273E" w:rsidP="00327E55">
      <w:pPr>
        <w:ind w:left="709" w:hanging="709"/>
      </w:pPr>
      <w:r>
        <w:t>2.5</w:t>
      </w:r>
      <w:r>
        <w:tab/>
      </w:r>
      <w:r w:rsidR="001B77CA">
        <w:t>In response to</w:t>
      </w:r>
      <w:r w:rsidR="003F6572">
        <w:t xml:space="preserve"> </w:t>
      </w:r>
      <w:r w:rsidR="001B77CA">
        <w:t>request</w:t>
      </w:r>
      <w:r w:rsidR="003C1E85">
        <w:t>s</w:t>
      </w:r>
      <w:r w:rsidR="001B77CA">
        <w:t xml:space="preserve"> </w:t>
      </w:r>
      <w:r w:rsidR="007536B0">
        <w:t xml:space="preserve">for </w:t>
      </w:r>
      <w:r w:rsidR="003C3CBF">
        <w:t xml:space="preserve">additional information </w:t>
      </w:r>
      <w:r w:rsidR="00A87EAD">
        <w:t>to</w:t>
      </w:r>
      <w:r w:rsidR="003C3CBF">
        <w:t xml:space="preserve"> be made</w:t>
      </w:r>
      <w:r w:rsidR="00A87EAD">
        <w:t xml:space="preserve"> available to the</w:t>
      </w:r>
      <w:r w:rsidR="003C3CBF">
        <w:t xml:space="preserve"> public as part of the consultation</w:t>
      </w:r>
      <w:r w:rsidR="00DD3A7D">
        <w:t xml:space="preserve">, </w:t>
      </w:r>
      <w:r w:rsidR="002C14EE">
        <w:t xml:space="preserve">further </w:t>
      </w:r>
      <w:r w:rsidR="00327E55">
        <w:t xml:space="preserve">information was </w:t>
      </w:r>
      <w:r w:rsidR="007536B0">
        <w:t xml:space="preserve">made available </w:t>
      </w:r>
      <w:r w:rsidR="002C14EE">
        <w:t>on the</w:t>
      </w:r>
      <w:r w:rsidR="007536B0">
        <w:t xml:space="preserve"> online consultation</w:t>
      </w:r>
      <w:r w:rsidR="00327E55">
        <w:t xml:space="preserve"> web page</w:t>
      </w:r>
      <w:r w:rsidR="008E423D">
        <w:t>.  The only requests</w:t>
      </w:r>
      <w:r w:rsidR="007536B0">
        <w:t xml:space="preserve"> </w:t>
      </w:r>
      <w:r w:rsidR="00327E55">
        <w:t>for further</w:t>
      </w:r>
      <w:r w:rsidR="00DD3A7D">
        <w:t xml:space="preserve"> information </w:t>
      </w:r>
      <w:r w:rsidR="007536B0">
        <w:t>which were not</w:t>
      </w:r>
      <w:r w:rsidR="00DD3A7D">
        <w:t xml:space="preserve"> </w:t>
      </w:r>
      <w:r w:rsidR="00513677">
        <w:t xml:space="preserve">met </w:t>
      </w:r>
      <w:r w:rsidR="00DD3A7D">
        <w:t xml:space="preserve">concerned information classified as </w:t>
      </w:r>
      <w:r w:rsidR="00327E55">
        <w:t xml:space="preserve">either </w:t>
      </w:r>
      <w:r w:rsidR="00DD3A7D">
        <w:t>commercially sensitive</w:t>
      </w:r>
      <w:r w:rsidR="008E423D">
        <w:t xml:space="preserve"> </w:t>
      </w:r>
      <w:r w:rsidR="00DD3A7D">
        <w:t>or</w:t>
      </w:r>
      <w:r w:rsidR="008E423D">
        <w:t xml:space="preserve"> relating to the estimated cost of the consultation version of the scheme.  Estimated cost is dynamic as the scheme evolves and the consultation was focused on the design and impacts of the scheme rather than on value for money.  Therefore, it was intended that information on costs would be made available to the public in due course in conjunction with this report.</w:t>
      </w:r>
    </w:p>
    <w:p w:rsidR="008E423D" w:rsidRDefault="008E423D" w:rsidP="00327E55">
      <w:pPr>
        <w:ind w:left="709" w:hanging="709"/>
      </w:pPr>
    </w:p>
    <w:p w:rsidR="006E4C9E" w:rsidRDefault="00BF6D33" w:rsidP="00054DED">
      <w:pPr>
        <w:ind w:left="709" w:hanging="709"/>
      </w:pPr>
      <w:r>
        <w:t>2.</w:t>
      </w:r>
      <w:r w:rsidR="0041273E">
        <w:t>6</w:t>
      </w:r>
      <w:r w:rsidR="000D0AB7">
        <w:tab/>
      </w:r>
      <w:r w:rsidR="006E4C9E">
        <w:t xml:space="preserve">During the consultation period common suggestions for additional elements to be </w:t>
      </w:r>
      <w:r w:rsidR="00DD511E">
        <w:t xml:space="preserve">included in the proposed </w:t>
      </w:r>
      <w:r w:rsidR="006E4C9E">
        <w:t>scheme were raised by respondents.  These potential revisions to the proposed scheme are listed in Table 3 at Appendix D of this report.</w:t>
      </w:r>
    </w:p>
    <w:p w:rsidR="006E4C9E" w:rsidRDefault="006E4C9E" w:rsidP="00054DED">
      <w:pPr>
        <w:ind w:left="709" w:hanging="709"/>
      </w:pPr>
    </w:p>
    <w:p w:rsidR="00054DED" w:rsidRDefault="00BF6D33" w:rsidP="00054DED">
      <w:pPr>
        <w:ind w:left="709" w:hanging="709"/>
      </w:pPr>
      <w:r>
        <w:t>2.</w:t>
      </w:r>
      <w:r w:rsidR="0041273E">
        <w:t>7</w:t>
      </w:r>
      <w:r w:rsidR="006E4C9E">
        <w:t xml:space="preserve"> </w:t>
      </w:r>
      <w:r w:rsidR="006E4C9E">
        <w:tab/>
      </w:r>
      <w:r w:rsidR="00054DED">
        <w:t xml:space="preserve">The following </w:t>
      </w:r>
      <w:r w:rsidR="003F6572">
        <w:t xml:space="preserve">items </w:t>
      </w:r>
      <w:r w:rsidR="00054DED">
        <w:t>were submitted during the consultation</w:t>
      </w:r>
      <w:r w:rsidR="008C1296">
        <w:t>:-</w:t>
      </w:r>
    </w:p>
    <w:p w:rsidR="00054DED" w:rsidRDefault="00226655" w:rsidP="00054DED">
      <w:pPr>
        <w:pStyle w:val="ListParagraph"/>
        <w:numPr>
          <w:ilvl w:val="0"/>
          <w:numId w:val="27"/>
        </w:numPr>
        <w:ind w:left="1418" w:hanging="425"/>
      </w:pPr>
      <w:r>
        <w:t>567</w:t>
      </w:r>
      <w:r w:rsidR="00E321A1">
        <w:t xml:space="preserve"> </w:t>
      </w:r>
      <w:r w:rsidR="00054DED">
        <w:t>response forms;</w:t>
      </w:r>
    </w:p>
    <w:p w:rsidR="00054DED" w:rsidRDefault="005E291F" w:rsidP="00054DED">
      <w:pPr>
        <w:pStyle w:val="ListParagraph"/>
        <w:numPr>
          <w:ilvl w:val="0"/>
          <w:numId w:val="27"/>
        </w:numPr>
        <w:ind w:left="1418" w:hanging="425"/>
      </w:pPr>
      <w:r>
        <w:t>12</w:t>
      </w:r>
      <w:r w:rsidR="005E15E3">
        <w:t xml:space="preserve"> </w:t>
      </w:r>
      <w:r w:rsidR="00261AAE">
        <w:t>letters of objection</w:t>
      </w:r>
      <w:r w:rsidR="00054DED" w:rsidRPr="00054DED">
        <w:t xml:space="preserve"> </w:t>
      </w:r>
      <w:r w:rsidR="00054DED">
        <w:t>towards the proposed scheme;</w:t>
      </w:r>
    </w:p>
    <w:p w:rsidR="003A75ED" w:rsidRDefault="003A75ED" w:rsidP="003A75ED">
      <w:pPr>
        <w:pStyle w:val="ListParagraph"/>
        <w:numPr>
          <w:ilvl w:val="0"/>
          <w:numId w:val="27"/>
        </w:numPr>
        <w:ind w:left="1418" w:hanging="425"/>
      </w:pPr>
      <w:r>
        <w:t xml:space="preserve">One of the letters of objection was submitted by </w:t>
      </w:r>
      <w:r w:rsidR="00792A90">
        <w:t>the</w:t>
      </w:r>
      <w:r>
        <w:t xml:space="preserve"> owner of a p</w:t>
      </w:r>
      <w:r w:rsidR="00792A90">
        <w:t>ros</w:t>
      </w:r>
      <w:r>
        <w:t xml:space="preserve">pective development site of which a small section is required for the scheme; </w:t>
      </w:r>
    </w:p>
    <w:p w:rsidR="00054DED" w:rsidRDefault="00054DED" w:rsidP="00054DED">
      <w:pPr>
        <w:pStyle w:val="ListParagraph"/>
        <w:numPr>
          <w:ilvl w:val="0"/>
          <w:numId w:val="27"/>
        </w:numPr>
        <w:ind w:left="1418" w:hanging="425"/>
      </w:pPr>
      <w:r>
        <w:t>1 letter of support for the proposed scheme;</w:t>
      </w:r>
    </w:p>
    <w:p w:rsidR="00054DED" w:rsidRDefault="00054DED" w:rsidP="00054DED">
      <w:pPr>
        <w:pStyle w:val="ListParagraph"/>
        <w:numPr>
          <w:ilvl w:val="0"/>
          <w:numId w:val="27"/>
        </w:numPr>
        <w:ind w:left="1418" w:hanging="425"/>
      </w:pPr>
      <w:r>
        <w:t xml:space="preserve">A </w:t>
      </w:r>
      <w:r w:rsidR="00403968">
        <w:t>Petiti</w:t>
      </w:r>
      <w:r>
        <w:t>on against the prop</w:t>
      </w:r>
      <w:r w:rsidR="003F6572">
        <w:t xml:space="preserve">osed scheme with 451 signatures </w:t>
      </w:r>
      <w:r w:rsidR="00511345">
        <w:t>presented</w:t>
      </w:r>
      <w:r>
        <w:t xml:space="preserve"> by the Bermuda Bridge Action </w:t>
      </w:r>
      <w:r w:rsidR="00CF5072">
        <w:t>Group</w:t>
      </w:r>
      <w:r>
        <w:t xml:space="preserve">; and </w:t>
      </w:r>
    </w:p>
    <w:p w:rsidR="00150240" w:rsidRDefault="00054DED" w:rsidP="00054DED">
      <w:pPr>
        <w:pStyle w:val="ListParagraph"/>
        <w:numPr>
          <w:ilvl w:val="0"/>
          <w:numId w:val="27"/>
        </w:numPr>
        <w:ind w:left="1418" w:hanging="425"/>
      </w:pPr>
      <w:r>
        <w:t>2 documents conta</w:t>
      </w:r>
      <w:r w:rsidR="002A3D9C">
        <w:t>ining material objecting to</w:t>
      </w:r>
      <w:r w:rsidR="003F6572">
        <w:t xml:space="preserve"> the proposed scheme </w:t>
      </w:r>
      <w:r>
        <w:t>produced by the Bermuda Bridge Action Group</w:t>
      </w:r>
      <w:r w:rsidR="00E321A1">
        <w:t xml:space="preserve">.  </w:t>
      </w:r>
    </w:p>
    <w:p w:rsidR="00CC0F10" w:rsidRDefault="00CC0F10" w:rsidP="00403968">
      <w:pPr>
        <w:ind w:left="709" w:hanging="709"/>
      </w:pPr>
    </w:p>
    <w:p w:rsidR="00CC0F10" w:rsidRDefault="00BF6D33" w:rsidP="00CC0F10">
      <w:pPr>
        <w:ind w:left="709" w:hanging="709"/>
      </w:pPr>
      <w:r>
        <w:t>2.</w:t>
      </w:r>
      <w:r w:rsidR="0041273E">
        <w:t>8</w:t>
      </w:r>
      <w:r w:rsidR="00CC0F10">
        <w:tab/>
        <w:t xml:space="preserve">The consultation allowed </w:t>
      </w:r>
      <w:r w:rsidR="000B2305">
        <w:t xml:space="preserve">those </w:t>
      </w:r>
      <w:r w:rsidR="00CC0F10">
        <w:t>local residents who are opposed to the scheme to express their views and concerns.  The common th</w:t>
      </w:r>
      <w:r w:rsidR="00C300BF">
        <w:t xml:space="preserve">emes </w:t>
      </w:r>
      <w:r w:rsidR="000B2305">
        <w:t xml:space="preserve">they </w:t>
      </w:r>
      <w:r w:rsidR="00C300BF">
        <w:t xml:space="preserve">expressed </w:t>
      </w:r>
      <w:r w:rsidR="00CC0F10">
        <w:t>are detailed in Table 4 at Appendix E of this report.</w:t>
      </w:r>
    </w:p>
    <w:p w:rsidR="00CC0F10" w:rsidRDefault="00CC0F10" w:rsidP="00403968">
      <w:pPr>
        <w:ind w:left="709" w:hanging="709"/>
      </w:pPr>
    </w:p>
    <w:p w:rsidR="00D27984" w:rsidRDefault="00BF6D33" w:rsidP="00D27984">
      <w:pPr>
        <w:ind w:left="709" w:hanging="709"/>
      </w:pPr>
      <w:r>
        <w:t>2.</w:t>
      </w:r>
      <w:r w:rsidR="0041273E">
        <w:t>9</w:t>
      </w:r>
      <w:r w:rsidR="00D27984">
        <w:tab/>
      </w:r>
      <w:r w:rsidR="006E17D6">
        <w:t>The k</w:t>
      </w:r>
      <w:r w:rsidR="00D27984">
        <w:t xml:space="preserve">ey </w:t>
      </w:r>
      <w:r w:rsidR="008D7703">
        <w:t xml:space="preserve">outcomes of the </w:t>
      </w:r>
      <w:r w:rsidR="006E17D6">
        <w:t>con</w:t>
      </w:r>
      <w:r w:rsidR="000B2305">
        <w:t>sultation we</w:t>
      </w:r>
      <w:r w:rsidR="00D27984">
        <w:t>re as follows:</w:t>
      </w:r>
    </w:p>
    <w:p w:rsidR="00D27984" w:rsidRDefault="00893053" w:rsidP="00D27984">
      <w:pPr>
        <w:pStyle w:val="ListParagraph"/>
        <w:numPr>
          <w:ilvl w:val="0"/>
          <w:numId w:val="26"/>
        </w:numPr>
        <w:ind w:left="1560" w:hanging="426"/>
      </w:pPr>
      <w:r w:rsidRPr="00893053">
        <w:lastRenderedPageBreak/>
        <w:t>55</w:t>
      </w:r>
      <w:r w:rsidR="00D27984" w:rsidRPr="00893053">
        <w:t>%</w:t>
      </w:r>
      <w:r w:rsidR="00D27984">
        <w:t xml:space="preserve"> of </w:t>
      </w:r>
      <w:r w:rsidR="005562AC">
        <w:t xml:space="preserve">the </w:t>
      </w:r>
      <w:r w:rsidR="00D27984">
        <w:t xml:space="preserve">respondents </w:t>
      </w:r>
      <w:r w:rsidR="00F0246F">
        <w:t>agreed</w:t>
      </w:r>
      <w:r w:rsidR="00D27984">
        <w:t xml:space="preserve"> that traffic</w:t>
      </w:r>
      <w:r w:rsidR="005E15E3">
        <w:t xml:space="preserve"> congestion in West Nuneaton </w:t>
      </w:r>
      <w:r w:rsidR="0088177A">
        <w:t>caused problems in</w:t>
      </w:r>
      <w:r w:rsidR="00D27984">
        <w:t xml:space="preserve"> their da</w:t>
      </w:r>
      <w:r w:rsidR="0088177A">
        <w:t xml:space="preserve">y to day activities </w:t>
      </w:r>
      <w:r w:rsidR="00B3063F">
        <w:t>(detailed in Chart 1 at Appendix F</w:t>
      </w:r>
      <w:r w:rsidR="000F6DBB">
        <w:t xml:space="preserve"> of this report</w:t>
      </w:r>
      <w:r w:rsidR="00F0246F">
        <w:t>)</w:t>
      </w:r>
      <w:r w:rsidR="00D27984">
        <w:t>;</w:t>
      </w:r>
      <w:r w:rsidR="003F324C">
        <w:t xml:space="preserve"> and</w:t>
      </w:r>
    </w:p>
    <w:p w:rsidR="00442498" w:rsidRDefault="003F324C" w:rsidP="003372A9">
      <w:pPr>
        <w:pStyle w:val="ListParagraph"/>
        <w:numPr>
          <w:ilvl w:val="0"/>
          <w:numId w:val="26"/>
        </w:numPr>
        <w:ind w:left="1560" w:hanging="426"/>
      </w:pPr>
      <w:r>
        <w:t xml:space="preserve">Support was expressed for the scheme in </w:t>
      </w:r>
      <w:r w:rsidR="000E4DFD">
        <w:t xml:space="preserve">all </w:t>
      </w:r>
      <w:r>
        <w:t xml:space="preserve">residential areas </w:t>
      </w:r>
      <w:r w:rsidR="000E4DFD">
        <w:t xml:space="preserve">including </w:t>
      </w:r>
      <w:r>
        <w:t xml:space="preserve">Camp Hill, Chapel End, Galley Common and </w:t>
      </w:r>
      <w:proofErr w:type="spellStart"/>
      <w:r>
        <w:t>Hartshill</w:t>
      </w:r>
      <w:proofErr w:type="spellEnd"/>
      <w:r>
        <w:t xml:space="preserve">, whilst there was a strong level of objection in the residential areas of Bermuda and </w:t>
      </w:r>
      <w:proofErr w:type="spellStart"/>
      <w:r>
        <w:t>Stockingford</w:t>
      </w:r>
      <w:proofErr w:type="spellEnd"/>
      <w:r>
        <w:t xml:space="preserve"> (</w:t>
      </w:r>
      <w:r w:rsidR="003372A9">
        <w:t>where there was also a signifi</w:t>
      </w:r>
      <w:r w:rsidR="00091416">
        <w:t>cant level o</w:t>
      </w:r>
      <w:r w:rsidR="003372A9">
        <w:t>f respondents who supported the scheme</w:t>
      </w:r>
      <w:r w:rsidR="00934C77">
        <w:t>)</w:t>
      </w:r>
      <w:r w:rsidR="003372A9">
        <w:t xml:space="preserve">, </w:t>
      </w:r>
      <w:r>
        <w:t>all detailed in Chart 2 at Appendix F</w:t>
      </w:r>
      <w:r w:rsidR="000F6DBB">
        <w:t xml:space="preserve"> of this report</w:t>
      </w:r>
      <w:r w:rsidR="00934C77">
        <w:t>.</w:t>
      </w:r>
    </w:p>
    <w:p w:rsidR="0041273E" w:rsidRDefault="0041273E" w:rsidP="000E4DFD">
      <w:pPr>
        <w:ind w:left="709" w:hanging="709"/>
      </w:pPr>
    </w:p>
    <w:p w:rsidR="008E0C46" w:rsidRDefault="00BF6D33">
      <w:pPr>
        <w:ind w:left="709" w:hanging="709"/>
      </w:pPr>
      <w:r>
        <w:t>2.</w:t>
      </w:r>
      <w:r w:rsidR="0041273E">
        <w:t>10</w:t>
      </w:r>
      <w:r w:rsidR="0062284E">
        <w:tab/>
      </w:r>
      <w:r w:rsidR="008D096A">
        <w:t>Detailed submissions were received from the Bermuda Bridge Action Group</w:t>
      </w:r>
      <w:r w:rsidR="00157FD7">
        <w:t xml:space="preserve"> </w:t>
      </w:r>
      <w:r w:rsidR="008D096A">
        <w:t>("BBAG")</w:t>
      </w:r>
      <w:r w:rsidR="00157FD7">
        <w:t xml:space="preserve"> and these are also addressed in Appendix E</w:t>
      </w:r>
      <w:r w:rsidR="008D096A">
        <w:t xml:space="preserve">.  </w:t>
      </w:r>
    </w:p>
    <w:p w:rsidR="008D096A" w:rsidRDefault="008D096A" w:rsidP="00C345B3">
      <w:pPr>
        <w:ind w:left="709" w:hanging="709"/>
      </w:pPr>
    </w:p>
    <w:p w:rsidR="001B240F" w:rsidRDefault="002015BD" w:rsidP="00DB5783">
      <w:pPr>
        <w:ind w:left="709" w:hanging="709"/>
        <w:rPr>
          <w:b/>
          <w:sz w:val="28"/>
        </w:rPr>
      </w:pPr>
      <w:r>
        <w:rPr>
          <w:b/>
          <w:sz w:val="28"/>
        </w:rPr>
        <w:t>3</w:t>
      </w:r>
      <w:r w:rsidR="00E9733C" w:rsidRPr="00E9733C">
        <w:rPr>
          <w:b/>
          <w:sz w:val="28"/>
        </w:rPr>
        <w:t>.0</w:t>
      </w:r>
      <w:r w:rsidR="00E9733C" w:rsidRPr="00E9733C">
        <w:rPr>
          <w:b/>
          <w:sz w:val="28"/>
        </w:rPr>
        <w:tab/>
      </w:r>
      <w:r w:rsidR="000D1D11">
        <w:rPr>
          <w:b/>
          <w:sz w:val="28"/>
        </w:rPr>
        <w:t>Land Acquis</w:t>
      </w:r>
      <w:r w:rsidR="004663FB">
        <w:rPr>
          <w:b/>
          <w:sz w:val="28"/>
        </w:rPr>
        <w:t>i</w:t>
      </w:r>
      <w:r w:rsidR="000D1D11">
        <w:rPr>
          <w:b/>
          <w:sz w:val="28"/>
        </w:rPr>
        <w:t>tion</w:t>
      </w:r>
    </w:p>
    <w:p w:rsidR="00E9733C" w:rsidRDefault="00E9733C"/>
    <w:p w:rsidR="001B0FE7" w:rsidRDefault="002015BD" w:rsidP="004D6790">
      <w:pPr>
        <w:ind w:left="709" w:hanging="709"/>
      </w:pPr>
      <w:r>
        <w:t>3.1</w:t>
      </w:r>
      <w:r>
        <w:tab/>
      </w:r>
      <w:r w:rsidR="001E20B1">
        <w:t>S</w:t>
      </w:r>
      <w:r w:rsidR="004D6790">
        <w:t xml:space="preserve">ections of </w:t>
      </w:r>
      <w:r w:rsidR="000951BA">
        <w:t xml:space="preserve">private land </w:t>
      </w:r>
      <w:r w:rsidR="004D6790">
        <w:t>will be</w:t>
      </w:r>
      <w:r w:rsidR="00DB5783">
        <w:t xml:space="preserve"> required in order to deliver elements of the proposed </w:t>
      </w:r>
      <w:r w:rsidR="009253A6">
        <w:t>scheme</w:t>
      </w:r>
      <w:r w:rsidR="001E20B1" w:rsidRPr="001E20B1">
        <w:t xml:space="preserve"> </w:t>
      </w:r>
      <w:r w:rsidR="001E20B1">
        <w:t>if it is progressed</w:t>
      </w:r>
      <w:r w:rsidR="009253A6">
        <w:t xml:space="preserve">.  </w:t>
      </w:r>
      <w:r w:rsidR="001B0FE7">
        <w:t>T</w:t>
      </w:r>
      <w:r w:rsidR="001B0FE7" w:rsidRPr="004E7F90">
        <w:t>he Valuation Office Agency has undertaken a market value assessment of each section of land required as part of the scheme</w:t>
      </w:r>
      <w:r w:rsidR="0097456B">
        <w:t>.  Details of the land requirements</w:t>
      </w:r>
      <w:r w:rsidR="001B0FE7" w:rsidRPr="004E7F90">
        <w:t xml:space="preserve">, </w:t>
      </w:r>
      <w:r w:rsidR="0097456B">
        <w:t>and the total estimated land values, for the consultation version of the scheme are</w:t>
      </w:r>
      <w:r w:rsidR="001B0FE7" w:rsidRPr="004E7F90">
        <w:t xml:space="preserve"> detailed in Table 5 at Appendix G of this report.</w:t>
      </w:r>
      <w:r w:rsidR="0097456B">
        <w:t xml:space="preserve">  The original scheme would require less land and this would mean a modest reduction (in the region of £15,000)</w:t>
      </w:r>
      <w:r w:rsidR="00FD612C">
        <w:t xml:space="preserve"> in the total value</w:t>
      </w:r>
      <w:r w:rsidR="0097456B">
        <w:t>.</w:t>
      </w:r>
    </w:p>
    <w:p w:rsidR="001A4C83" w:rsidRDefault="001A4C83" w:rsidP="00CE4D8C">
      <w:pPr>
        <w:rPr>
          <w:b/>
          <w:sz w:val="28"/>
        </w:rPr>
      </w:pPr>
    </w:p>
    <w:p w:rsidR="00CE4D8C" w:rsidRPr="00E9733C" w:rsidRDefault="00CE4D8C" w:rsidP="00CE4D8C">
      <w:pPr>
        <w:rPr>
          <w:b/>
          <w:sz w:val="28"/>
        </w:rPr>
      </w:pPr>
      <w:r>
        <w:rPr>
          <w:b/>
          <w:sz w:val="28"/>
        </w:rPr>
        <w:t>4</w:t>
      </w:r>
      <w:r w:rsidR="004663FB">
        <w:rPr>
          <w:b/>
          <w:sz w:val="28"/>
        </w:rPr>
        <w:t>.0</w:t>
      </w:r>
      <w:r w:rsidR="004663FB">
        <w:rPr>
          <w:b/>
          <w:sz w:val="28"/>
        </w:rPr>
        <w:tab/>
        <w:t>Options</w:t>
      </w:r>
    </w:p>
    <w:p w:rsidR="00185A67" w:rsidRDefault="00185A67" w:rsidP="00185A67">
      <w:pPr>
        <w:ind w:left="709" w:hanging="709"/>
        <w:rPr>
          <w:noProof/>
        </w:rPr>
      </w:pPr>
    </w:p>
    <w:p w:rsidR="0040547F" w:rsidRDefault="00105384" w:rsidP="00CD415A">
      <w:pPr>
        <w:ind w:left="709" w:hanging="709"/>
      </w:pPr>
      <w:r>
        <w:t>4.1</w:t>
      </w:r>
      <w:r>
        <w:tab/>
      </w:r>
      <w:r w:rsidR="001048C6">
        <w:t>T</w:t>
      </w:r>
      <w:r>
        <w:t xml:space="preserve">he following </w:t>
      </w:r>
      <w:r w:rsidR="001048C6">
        <w:t xml:space="preserve">Options for </w:t>
      </w:r>
      <w:r w:rsidR="0040547F">
        <w:t xml:space="preserve">continuing </w:t>
      </w:r>
      <w:r w:rsidR="001048C6">
        <w:t xml:space="preserve">the scheme </w:t>
      </w:r>
      <w:r w:rsidR="00C11C7E">
        <w:t xml:space="preserve">or not </w:t>
      </w:r>
      <w:r w:rsidR="0040547F">
        <w:t>have been considered:</w:t>
      </w:r>
    </w:p>
    <w:p w:rsidR="00105384" w:rsidRDefault="00105384" w:rsidP="00105384">
      <w:pPr>
        <w:ind w:left="709" w:hanging="709"/>
      </w:pPr>
    </w:p>
    <w:p w:rsidR="00105384" w:rsidRDefault="0040547F" w:rsidP="00105384">
      <w:pPr>
        <w:ind w:left="709"/>
        <w:rPr>
          <w:u w:val="single"/>
        </w:rPr>
      </w:pPr>
      <w:r>
        <w:rPr>
          <w:u w:val="single"/>
        </w:rPr>
        <w:t>Option 1</w:t>
      </w:r>
      <w:r w:rsidR="00105384" w:rsidRPr="004D6B96">
        <w:rPr>
          <w:u w:val="single"/>
        </w:rPr>
        <w:t>:</w:t>
      </w:r>
    </w:p>
    <w:p w:rsidR="00C220D7" w:rsidRDefault="00C220D7" w:rsidP="00006DF0">
      <w:pPr>
        <w:ind w:left="709"/>
      </w:pPr>
      <w:r>
        <w:t>The current capital funding allocated to the scheme enabled the development of preliminary design proposals</w:t>
      </w:r>
      <w:r w:rsidR="007952A7">
        <w:t xml:space="preserve">.  In response to concerns raised by local residents affected by the proposed scheme, a </w:t>
      </w:r>
      <w:r>
        <w:t xml:space="preserve">number of </w:t>
      </w:r>
      <w:r w:rsidR="00391DA8">
        <w:t>additional components</w:t>
      </w:r>
      <w:r>
        <w:t xml:space="preserve"> </w:t>
      </w:r>
      <w:r w:rsidR="00011761">
        <w:t>were</w:t>
      </w:r>
      <w:r w:rsidR="00857C11">
        <w:t xml:space="preserve"> </w:t>
      </w:r>
      <w:r w:rsidR="00006DF0">
        <w:t>included in the preliminary design proposals</w:t>
      </w:r>
      <w:r w:rsidR="00011761">
        <w:t xml:space="preserve"> used for public consultation</w:t>
      </w:r>
      <w:r w:rsidR="00006DF0">
        <w:t>.  These</w:t>
      </w:r>
      <w:r w:rsidR="00391DA8">
        <w:t xml:space="preserve"> additional components </w:t>
      </w:r>
      <w:r w:rsidR="00011761">
        <w:t>(</w:t>
      </w:r>
      <w:r w:rsidR="007952A7">
        <w:t>detailed in Table 1 at Appendix A of this report</w:t>
      </w:r>
      <w:r w:rsidR="00011761">
        <w:t>)</w:t>
      </w:r>
      <w:r w:rsidR="007952A7">
        <w:t xml:space="preserve"> </w:t>
      </w:r>
      <w:r w:rsidR="00391DA8">
        <w:t xml:space="preserve">were included for the purpose of reducing the impact of the scheme on affected local residents, </w:t>
      </w:r>
      <w:r>
        <w:t xml:space="preserve">e.g. realigning a section of Bermuda Road away from residential properties. </w:t>
      </w:r>
      <w:r w:rsidR="00391DA8">
        <w:t xml:space="preserve"> The inclusion of the additional components in the preliminary design proposals </w:t>
      </w:r>
      <w:r w:rsidR="00627683">
        <w:t xml:space="preserve">used for public consultation </w:t>
      </w:r>
      <w:r w:rsidR="00391DA8">
        <w:t xml:space="preserve">was supported by local County Councillors.  </w:t>
      </w:r>
    </w:p>
    <w:p w:rsidR="00C220D7" w:rsidRDefault="00C220D7" w:rsidP="006D7BD2">
      <w:pPr>
        <w:ind w:left="709"/>
      </w:pPr>
    </w:p>
    <w:p w:rsidR="002629C4" w:rsidRDefault="001A4C83" w:rsidP="002629C4">
      <w:pPr>
        <w:ind w:left="709"/>
      </w:pPr>
      <w:r>
        <w:t>Due to the inclusion of the additional components</w:t>
      </w:r>
      <w:r w:rsidR="00512B3E">
        <w:t>,</w:t>
      </w:r>
      <w:r>
        <w:t xml:space="preserve"> the projected capital cost of the consultation version of the scheme has increased to an estimated £5.939</w:t>
      </w:r>
      <w:r w:rsidR="004A50D5">
        <w:t xml:space="preserve"> </w:t>
      </w:r>
      <w:r>
        <w:t>million.  Option 1 would include the additio</w:t>
      </w:r>
      <w:r w:rsidR="002629C4">
        <w:t xml:space="preserve">nal components and the estimated cost of £5.939 million includes the total land cost estimate in </w:t>
      </w:r>
      <w:r w:rsidR="002629C4" w:rsidRPr="00C7157E">
        <w:t>Table 5 at Appendix G of this report</w:t>
      </w:r>
      <w:r w:rsidR="002629C4">
        <w:t xml:space="preserve">.  </w:t>
      </w:r>
    </w:p>
    <w:p w:rsidR="002629C4" w:rsidRDefault="002629C4" w:rsidP="00E73B4E">
      <w:pPr>
        <w:ind w:left="709"/>
      </w:pPr>
    </w:p>
    <w:p w:rsidR="00A31C35" w:rsidRDefault="00857C11" w:rsidP="00B5089D">
      <w:pPr>
        <w:ind w:left="709"/>
        <w:rPr>
          <w:rFonts w:cs="Arial"/>
          <w:szCs w:val="24"/>
        </w:rPr>
      </w:pPr>
      <w:r>
        <w:t xml:space="preserve">Option 1 </w:t>
      </w:r>
      <w:r w:rsidR="00E73B4E">
        <w:t>w</w:t>
      </w:r>
      <w:r>
        <w:t xml:space="preserve">ould also include </w:t>
      </w:r>
      <w:r w:rsidR="00A31C35">
        <w:t xml:space="preserve">the design and costing of </w:t>
      </w:r>
      <w:r>
        <w:t>potential revisions to the scheme as an outcome of the consultation detailed in Table 3 at Appendix E</w:t>
      </w:r>
      <w:r w:rsidR="00006DF0">
        <w:t xml:space="preserve"> of this report</w:t>
      </w:r>
      <w:r w:rsidR="00E73B4E">
        <w:t>, which c</w:t>
      </w:r>
      <w:r>
        <w:t>ould</w:t>
      </w:r>
      <w:r w:rsidR="00E73B4E">
        <w:t xml:space="preserve"> potentially add </w:t>
      </w:r>
      <w:r w:rsidR="00F40A21">
        <w:t>a</w:t>
      </w:r>
      <w:r w:rsidR="003E1A40">
        <w:t xml:space="preserve">n estimated </w:t>
      </w:r>
      <w:r w:rsidR="00F40A21">
        <w:t>£</w:t>
      </w:r>
      <w:r w:rsidR="001B2D3B">
        <w:t>800</w:t>
      </w:r>
      <w:r w:rsidR="00F40A21">
        <w:t xml:space="preserve">k </w:t>
      </w:r>
      <w:r w:rsidR="003E1A40">
        <w:t xml:space="preserve">of </w:t>
      </w:r>
      <w:r w:rsidR="00E73B4E">
        <w:t xml:space="preserve">further </w:t>
      </w:r>
      <w:r w:rsidR="00E73B4E">
        <w:lastRenderedPageBreak/>
        <w:t xml:space="preserve">costs to the scheme.  </w:t>
      </w:r>
      <w:r w:rsidR="001B2D3B">
        <w:t xml:space="preserve">For example, a potential revision concerns the provision of a </w:t>
      </w:r>
      <w:r w:rsidR="001B2D3B" w:rsidRPr="00272B6F">
        <w:rPr>
          <w:rFonts w:cs="Arial"/>
          <w:szCs w:val="24"/>
        </w:rPr>
        <w:t xml:space="preserve">car park </w:t>
      </w:r>
      <w:r w:rsidR="001B2D3B">
        <w:rPr>
          <w:rFonts w:cs="Arial"/>
          <w:szCs w:val="24"/>
        </w:rPr>
        <w:t xml:space="preserve">on a site off </w:t>
      </w:r>
      <w:proofErr w:type="spellStart"/>
      <w:r w:rsidR="001B2D3B">
        <w:rPr>
          <w:rFonts w:cs="Arial"/>
          <w:szCs w:val="24"/>
        </w:rPr>
        <w:t>Tenlons</w:t>
      </w:r>
      <w:proofErr w:type="spellEnd"/>
      <w:r w:rsidR="001B2D3B">
        <w:rPr>
          <w:rFonts w:cs="Arial"/>
          <w:szCs w:val="24"/>
        </w:rPr>
        <w:t xml:space="preserve"> Road, which would incur further land costs on the scheme budget.</w:t>
      </w:r>
      <w:r w:rsidR="00A31C35">
        <w:rPr>
          <w:rFonts w:cs="Arial"/>
          <w:szCs w:val="24"/>
        </w:rPr>
        <w:t xml:space="preserve">  </w:t>
      </w:r>
    </w:p>
    <w:p w:rsidR="00A31C35" w:rsidRDefault="00A31C35" w:rsidP="00B5089D">
      <w:pPr>
        <w:ind w:left="709"/>
        <w:rPr>
          <w:rFonts w:cs="Arial"/>
          <w:szCs w:val="24"/>
        </w:rPr>
      </w:pPr>
    </w:p>
    <w:p w:rsidR="00474850" w:rsidRDefault="00CA325E" w:rsidP="00B5089D">
      <w:pPr>
        <w:ind w:left="709"/>
      </w:pPr>
      <w:r>
        <w:rPr>
          <w:szCs w:val="24"/>
        </w:rPr>
        <w:t>I</w:t>
      </w:r>
      <w:r w:rsidR="00857C11">
        <w:rPr>
          <w:szCs w:val="24"/>
        </w:rPr>
        <w:t>t is important to emphasise that further cost certainty will be provided when the detailed design is completed, the environmental implications are assessed and the mitigation is agreed.</w:t>
      </w:r>
    </w:p>
    <w:p w:rsidR="00857C11" w:rsidRDefault="00857C11" w:rsidP="00B5089D">
      <w:pPr>
        <w:ind w:left="709"/>
      </w:pPr>
    </w:p>
    <w:p w:rsidR="00A24F12" w:rsidRDefault="00663194" w:rsidP="00663194">
      <w:pPr>
        <w:ind w:left="709"/>
        <w:rPr>
          <w:szCs w:val="24"/>
        </w:rPr>
      </w:pPr>
      <w:r>
        <w:rPr>
          <w:szCs w:val="24"/>
        </w:rPr>
        <w:t xml:space="preserve">If this Option is approved, </w:t>
      </w:r>
      <w:r w:rsidR="00E73B4E">
        <w:rPr>
          <w:szCs w:val="24"/>
        </w:rPr>
        <w:t xml:space="preserve">officers will </w:t>
      </w:r>
      <w:r w:rsidR="00807692">
        <w:rPr>
          <w:szCs w:val="24"/>
        </w:rPr>
        <w:t xml:space="preserve">develop the scheme to detailed design stage and </w:t>
      </w:r>
      <w:r w:rsidR="00E73B4E">
        <w:rPr>
          <w:szCs w:val="24"/>
        </w:rPr>
        <w:t xml:space="preserve">report back to </w:t>
      </w:r>
      <w:r w:rsidR="001A4C83">
        <w:rPr>
          <w:szCs w:val="24"/>
        </w:rPr>
        <w:t xml:space="preserve">Cabinet </w:t>
      </w:r>
      <w:r w:rsidR="00A24F12">
        <w:rPr>
          <w:szCs w:val="24"/>
        </w:rPr>
        <w:t>with:</w:t>
      </w:r>
    </w:p>
    <w:p w:rsidR="00A24F12" w:rsidRDefault="00A24F12" w:rsidP="00663194">
      <w:pPr>
        <w:ind w:left="709"/>
        <w:rPr>
          <w:szCs w:val="24"/>
        </w:rPr>
      </w:pPr>
    </w:p>
    <w:p w:rsidR="00A24F12" w:rsidRDefault="00E73B4E" w:rsidP="00011761">
      <w:pPr>
        <w:ind w:left="1276" w:hanging="425"/>
      </w:pPr>
      <w:r>
        <w:t xml:space="preserve">(1) </w:t>
      </w:r>
      <w:r w:rsidR="00CA325E">
        <w:t xml:space="preserve"> </w:t>
      </w:r>
      <w:proofErr w:type="gramStart"/>
      <w:r>
        <w:t>confirmation</w:t>
      </w:r>
      <w:proofErr w:type="gramEnd"/>
      <w:r>
        <w:t xml:space="preserve"> of the detailed design and extent of the scheme</w:t>
      </w:r>
      <w:r w:rsidR="00A24F12">
        <w:t>;</w:t>
      </w:r>
    </w:p>
    <w:p w:rsidR="00A24F12" w:rsidRDefault="00A24F12" w:rsidP="00011761">
      <w:pPr>
        <w:ind w:left="1276" w:hanging="425"/>
      </w:pPr>
    </w:p>
    <w:p w:rsidR="00A24F12" w:rsidRDefault="00E73B4E" w:rsidP="00011761">
      <w:pPr>
        <w:ind w:left="1276" w:hanging="425"/>
      </w:pPr>
      <w:r>
        <w:t xml:space="preserve">(2) </w:t>
      </w:r>
      <w:r w:rsidR="00CA325E">
        <w:t xml:space="preserve"> </w:t>
      </w:r>
      <w:proofErr w:type="gramStart"/>
      <w:r w:rsidR="002234C0">
        <w:t>details</w:t>
      </w:r>
      <w:proofErr w:type="gramEnd"/>
      <w:r w:rsidR="002234C0">
        <w:t xml:space="preserve"> of the updated cost estimate for the scheme</w:t>
      </w:r>
      <w:r w:rsidR="00A31C35">
        <w:t xml:space="preserve"> (with the cost of the potential revisions in Table 3 of Appendix </w:t>
      </w:r>
      <w:r w:rsidR="00FF34E5">
        <w:t xml:space="preserve">D </w:t>
      </w:r>
      <w:r w:rsidR="00A31C35">
        <w:t>separately identified)</w:t>
      </w:r>
      <w:r w:rsidR="00A24F12">
        <w:t>;</w:t>
      </w:r>
    </w:p>
    <w:p w:rsidR="00A24F12" w:rsidRDefault="00A24F12" w:rsidP="00011761">
      <w:pPr>
        <w:ind w:left="1276" w:hanging="425"/>
      </w:pPr>
    </w:p>
    <w:p w:rsidR="00A24F12" w:rsidRDefault="002234C0" w:rsidP="00011761">
      <w:pPr>
        <w:ind w:left="1276" w:hanging="425"/>
        <w:rPr>
          <w:szCs w:val="24"/>
        </w:rPr>
      </w:pPr>
      <w:r>
        <w:t xml:space="preserve">(3) </w:t>
      </w:r>
      <w:r w:rsidR="00CA325E">
        <w:t xml:space="preserve"> </w:t>
      </w:r>
      <w:proofErr w:type="gramStart"/>
      <w:r>
        <w:t>the</w:t>
      </w:r>
      <w:proofErr w:type="gramEnd"/>
      <w:r>
        <w:t xml:space="preserve"> reasons for </w:t>
      </w:r>
      <w:r>
        <w:rPr>
          <w:szCs w:val="24"/>
        </w:rPr>
        <w:t>the increased cost for the scheme</w:t>
      </w:r>
      <w:r w:rsidR="00A24F12">
        <w:rPr>
          <w:szCs w:val="24"/>
        </w:rPr>
        <w:t>;</w:t>
      </w:r>
    </w:p>
    <w:p w:rsidR="00624B0A" w:rsidRDefault="00624B0A" w:rsidP="00011761">
      <w:pPr>
        <w:ind w:left="1276" w:hanging="425"/>
        <w:rPr>
          <w:szCs w:val="24"/>
        </w:rPr>
      </w:pPr>
    </w:p>
    <w:p w:rsidR="00624B0A" w:rsidRDefault="00624B0A" w:rsidP="00011761">
      <w:pPr>
        <w:ind w:left="1276" w:hanging="425"/>
        <w:rPr>
          <w:szCs w:val="24"/>
        </w:rPr>
      </w:pPr>
      <w:r>
        <w:rPr>
          <w:szCs w:val="24"/>
        </w:rPr>
        <w:t xml:space="preserve">(4)  </w:t>
      </w:r>
      <w:proofErr w:type="gramStart"/>
      <w:r>
        <w:rPr>
          <w:szCs w:val="24"/>
        </w:rPr>
        <w:t>identification</w:t>
      </w:r>
      <w:proofErr w:type="gramEnd"/>
      <w:r>
        <w:rPr>
          <w:szCs w:val="24"/>
        </w:rPr>
        <w:t xml:space="preserve"> of any further external funding obtained;</w:t>
      </w:r>
    </w:p>
    <w:p w:rsidR="00A24F12" w:rsidRDefault="00A24F12" w:rsidP="00011761">
      <w:pPr>
        <w:ind w:left="1276" w:hanging="425"/>
      </w:pPr>
    </w:p>
    <w:p w:rsidR="00624B0A" w:rsidRDefault="002234C0" w:rsidP="00011761">
      <w:pPr>
        <w:ind w:left="1276" w:hanging="425"/>
      </w:pPr>
      <w:r>
        <w:t>(</w:t>
      </w:r>
      <w:r w:rsidR="00624B0A">
        <w:t>5</w:t>
      </w:r>
      <w:r>
        <w:t xml:space="preserve">) </w:t>
      </w:r>
      <w:r w:rsidR="00CA325E">
        <w:t xml:space="preserve"> </w:t>
      </w:r>
      <w:proofErr w:type="gramStart"/>
      <w:r w:rsidR="00A24F12">
        <w:t>a</w:t>
      </w:r>
      <w:proofErr w:type="gramEnd"/>
      <w:r w:rsidR="00A24F12">
        <w:t xml:space="preserve"> reconciliation of the funding implications with the requirements of Council (as detailed in paragraph 1.2 of this report</w:t>
      </w:r>
      <w:r w:rsidR="00624B0A">
        <w:t>);</w:t>
      </w:r>
    </w:p>
    <w:p w:rsidR="00624B0A" w:rsidRDefault="00624B0A" w:rsidP="00011761">
      <w:pPr>
        <w:ind w:left="1276" w:hanging="425"/>
      </w:pPr>
    </w:p>
    <w:p w:rsidR="00A24F12" w:rsidRDefault="00624B0A" w:rsidP="00011761">
      <w:pPr>
        <w:ind w:left="1276" w:hanging="425"/>
      </w:pPr>
      <w:r>
        <w:t xml:space="preserve">(6)  </w:t>
      </w:r>
      <w:proofErr w:type="gramStart"/>
      <w:r w:rsidR="00A24F12">
        <w:t>proposals</w:t>
      </w:r>
      <w:proofErr w:type="gramEnd"/>
      <w:r w:rsidR="00A24F12">
        <w:t xml:space="preserve"> </w:t>
      </w:r>
      <w:r>
        <w:t>for funding any additional amount required from Council resources</w:t>
      </w:r>
      <w:r w:rsidR="00A24F12">
        <w:t>;</w:t>
      </w:r>
      <w:r w:rsidR="002234C0">
        <w:t xml:space="preserve"> and</w:t>
      </w:r>
    </w:p>
    <w:p w:rsidR="00A24F12" w:rsidRDefault="00A24F12" w:rsidP="00011761">
      <w:pPr>
        <w:ind w:left="1276" w:hanging="425"/>
      </w:pPr>
    </w:p>
    <w:p w:rsidR="00A24F12" w:rsidRDefault="002234C0" w:rsidP="00011761">
      <w:pPr>
        <w:ind w:left="1276" w:hanging="425"/>
      </w:pPr>
      <w:r>
        <w:t>(</w:t>
      </w:r>
      <w:r w:rsidR="00624B0A">
        <w:t>7</w:t>
      </w:r>
      <w:r>
        <w:t xml:space="preserve">) </w:t>
      </w:r>
      <w:r w:rsidR="00CA325E">
        <w:t xml:space="preserve"> </w:t>
      </w:r>
      <w:proofErr w:type="gramStart"/>
      <w:r>
        <w:t>the</w:t>
      </w:r>
      <w:proofErr w:type="gramEnd"/>
      <w:r>
        <w:t xml:space="preserve"> outcome of land negotiations</w:t>
      </w:r>
      <w:r w:rsidR="00E73B4E">
        <w:t xml:space="preserve">.  </w:t>
      </w:r>
    </w:p>
    <w:p w:rsidR="00DB5660" w:rsidRDefault="00DB5660" w:rsidP="00663194">
      <w:pPr>
        <w:ind w:left="709"/>
      </w:pPr>
    </w:p>
    <w:p w:rsidR="001A4C83" w:rsidRPr="00663194" w:rsidRDefault="001A4C83" w:rsidP="00663194">
      <w:pPr>
        <w:ind w:left="709"/>
        <w:rPr>
          <w:szCs w:val="24"/>
        </w:rPr>
      </w:pPr>
      <w:r>
        <w:t>Cabinet will then be asked to decide whether or not to</w:t>
      </w:r>
      <w:r w:rsidR="00E57F93">
        <w:t xml:space="preserve"> refer </w:t>
      </w:r>
      <w:r w:rsidR="00DE7F0B">
        <w:t xml:space="preserve">the progression of the scheme </w:t>
      </w:r>
      <w:r w:rsidR="00E57F93">
        <w:t xml:space="preserve">to Council with </w:t>
      </w:r>
      <w:r>
        <w:t>recommendations.</w:t>
      </w:r>
    </w:p>
    <w:p w:rsidR="001A4C83" w:rsidRDefault="001A4C83" w:rsidP="00B5089D">
      <w:pPr>
        <w:ind w:left="709"/>
      </w:pPr>
    </w:p>
    <w:p w:rsidR="00105384" w:rsidRPr="00FA0D93" w:rsidRDefault="00FA0D93" w:rsidP="00FA0D93">
      <w:pPr>
        <w:ind w:left="1418" w:hanging="709"/>
        <w:rPr>
          <w:u w:val="single"/>
        </w:rPr>
      </w:pPr>
      <w:r w:rsidRPr="00FA0D93">
        <w:rPr>
          <w:u w:val="single"/>
        </w:rPr>
        <w:t>O</w:t>
      </w:r>
      <w:r w:rsidR="00105384" w:rsidRPr="00F06170">
        <w:rPr>
          <w:u w:val="single"/>
        </w:rPr>
        <w:t>ption 2:</w:t>
      </w:r>
    </w:p>
    <w:p w:rsidR="00105384" w:rsidRDefault="00E73B4E" w:rsidP="00105384">
      <w:pPr>
        <w:ind w:left="709"/>
      </w:pPr>
      <w:r>
        <w:t>The e</w:t>
      </w:r>
      <w:r w:rsidR="00006DF0">
        <w:t xml:space="preserve">xtent of </w:t>
      </w:r>
      <w:r w:rsidR="002230D4">
        <w:t>Option 2</w:t>
      </w:r>
      <w:r w:rsidR="00006DF0">
        <w:t xml:space="preserve"> is </w:t>
      </w:r>
      <w:r>
        <w:t>confined to the existing £3.702</w:t>
      </w:r>
      <w:r w:rsidR="004A50D5">
        <w:t xml:space="preserve"> </w:t>
      </w:r>
      <w:r>
        <w:t>million capital budget.</w:t>
      </w:r>
      <w:r w:rsidR="008A3918">
        <w:t xml:space="preserve">  </w:t>
      </w:r>
    </w:p>
    <w:p w:rsidR="00B341DD" w:rsidRDefault="00105384" w:rsidP="00D47EA8">
      <w:pPr>
        <w:ind w:left="709"/>
        <w:rPr>
          <w:rFonts w:cs="Arial"/>
          <w:color w:val="222222"/>
          <w:szCs w:val="24"/>
        </w:rPr>
      </w:pPr>
      <w:r>
        <w:t>On this basis, office</w:t>
      </w:r>
      <w:r w:rsidR="00474850">
        <w:t xml:space="preserve">rs would revert to a </w:t>
      </w:r>
      <w:r>
        <w:t>scheme</w:t>
      </w:r>
      <w:r w:rsidR="00B5089D">
        <w:t xml:space="preserve"> in accordance with the Business Case,</w:t>
      </w:r>
      <w:r w:rsidR="00474850">
        <w:t xml:space="preserve"> which would </w:t>
      </w:r>
      <w:r>
        <w:t>involve improving</w:t>
      </w:r>
      <w:r w:rsidRPr="00327FBE">
        <w:t xml:space="preserve"> </w:t>
      </w:r>
      <w:r>
        <w:t xml:space="preserve">Bermuda Bridge, </w:t>
      </w:r>
      <w:r w:rsidRPr="00327FBE">
        <w:rPr>
          <w:rFonts w:cs="Arial"/>
          <w:color w:val="222222"/>
          <w:szCs w:val="24"/>
        </w:rPr>
        <w:t>connecting</w:t>
      </w:r>
      <w:r>
        <w:rPr>
          <w:rFonts w:cs="Arial"/>
          <w:color w:val="222222"/>
          <w:szCs w:val="24"/>
        </w:rPr>
        <w:t xml:space="preserve"> the bridge </w:t>
      </w:r>
      <w:r w:rsidRPr="00327FBE">
        <w:rPr>
          <w:rFonts w:cs="Arial"/>
          <w:color w:val="222222"/>
          <w:szCs w:val="24"/>
        </w:rPr>
        <w:t>to the highway</w:t>
      </w:r>
      <w:r w:rsidRPr="00327FBE">
        <w:t xml:space="preserve"> </w:t>
      </w:r>
      <w:r>
        <w:t>and permitting access for two-way vehicle flow</w:t>
      </w:r>
      <w:r w:rsidRPr="00327FBE">
        <w:rPr>
          <w:rFonts w:cs="Arial"/>
          <w:color w:val="222222"/>
          <w:szCs w:val="24"/>
        </w:rPr>
        <w:t>,</w:t>
      </w:r>
      <w:r>
        <w:rPr>
          <w:rFonts w:cs="Arial"/>
          <w:color w:val="222222"/>
          <w:szCs w:val="24"/>
        </w:rPr>
        <w:t xml:space="preserve"> </w:t>
      </w:r>
      <w:r>
        <w:t>rel</w:t>
      </w:r>
      <w:r w:rsidR="00B5089D">
        <w:t xml:space="preserve">evant junction improvements, </w:t>
      </w:r>
      <w:r w:rsidRPr="00327FBE">
        <w:rPr>
          <w:rFonts w:cs="Arial"/>
          <w:color w:val="222222"/>
          <w:szCs w:val="24"/>
        </w:rPr>
        <w:t>shared pedestrian/cycling improvements</w:t>
      </w:r>
      <w:r w:rsidR="00B5089D">
        <w:rPr>
          <w:rFonts w:cs="Arial"/>
          <w:color w:val="222222"/>
          <w:szCs w:val="24"/>
        </w:rPr>
        <w:t xml:space="preserve"> and the </w:t>
      </w:r>
      <w:r w:rsidR="00B5089D" w:rsidRPr="00327FBE">
        <w:rPr>
          <w:rFonts w:cs="Arial"/>
          <w:color w:val="222222"/>
          <w:szCs w:val="24"/>
        </w:rPr>
        <w:t>provision of a</w:t>
      </w:r>
      <w:r w:rsidR="00B5089D">
        <w:rPr>
          <w:rFonts w:cs="Arial"/>
          <w:color w:val="222222"/>
          <w:szCs w:val="24"/>
        </w:rPr>
        <w:t xml:space="preserve">n off-street car park </w:t>
      </w:r>
      <w:r w:rsidR="00B5089D" w:rsidRPr="00327FBE">
        <w:rPr>
          <w:rFonts w:cs="Arial"/>
          <w:color w:val="222222"/>
          <w:szCs w:val="24"/>
        </w:rPr>
        <w:t>for Bermuda Park Rail Station</w:t>
      </w:r>
      <w:r w:rsidR="00B5089D">
        <w:rPr>
          <w:rFonts w:cs="Arial"/>
          <w:color w:val="222222"/>
          <w:szCs w:val="24"/>
        </w:rPr>
        <w:t xml:space="preserve"> at the preferred site</w:t>
      </w:r>
      <w:r w:rsidR="00474850">
        <w:rPr>
          <w:rFonts w:cs="Arial"/>
          <w:color w:val="222222"/>
          <w:szCs w:val="24"/>
        </w:rPr>
        <w:t>.</w:t>
      </w:r>
      <w:r w:rsidR="00A31C35">
        <w:rPr>
          <w:rFonts w:cs="Arial"/>
          <w:color w:val="222222"/>
          <w:szCs w:val="24"/>
        </w:rPr>
        <w:t xml:space="preserve">  This version of the scheme delivers similar benefits for the highway network as Option 1 but has less mitigation for local impacts along the route.</w:t>
      </w:r>
      <w:r w:rsidR="00474850">
        <w:rPr>
          <w:rFonts w:cs="Arial"/>
          <w:color w:val="222222"/>
          <w:szCs w:val="24"/>
        </w:rPr>
        <w:t xml:space="preserve"> </w:t>
      </w:r>
    </w:p>
    <w:p w:rsidR="00F83741" w:rsidRDefault="00F83741" w:rsidP="00D47EA8">
      <w:pPr>
        <w:ind w:left="709"/>
        <w:rPr>
          <w:rFonts w:cs="Arial"/>
          <w:color w:val="222222"/>
          <w:szCs w:val="24"/>
        </w:rPr>
      </w:pPr>
    </w:p>
    <w:p w:rsidR="00E21740" w:rsidRDefault="00F83741" w:rsidP="00FF34E5">
      <w:pPr>
        <w:ind w:left="709"/>
        <w:rPr>
          <w:u w:val="single"/>
        </w:rPr>
      </w:pPr>
      <w:r>
        <w:rPr>
          <w:rFonts w:cs="Arial"/>
          <w:color w:val="222222"/>
          <w:szCs w:val="24"/>
        </w:rPr>
        <w:t>Public consultation has not yet been carried out on this version of the scheme.</w:t>
      </w:r>
      <w:r w:rsidR="00821310">
        <w:rPr>
          <w:rFonts w:cs="Arial"/>
          <w:color w:val="222222"/>
          <w:szCs w:val="24"/>
        </w:rPr>
        <w:t xml:space="preserve">  Therefore, if this Option is preferred, further engagement with the local community would be necessary.</w:t>
      </w:r>
      <w:r>
        <w:rPr>
          <w:rFonts w:cs="Arial"/>
          <w:color w:val="222222"/>
          <w:szCs w:val="24"/>
        </w:rPr>
        <w:t xml:space="preserve">  </w:t>
      </w:r>
    </w:p>
    <w:p w:rsidR="00FF34E5" w:rsidRDefault="00FF34E5" w:rsidP="00114A24">
      <w:pPr>
        <w:ind w:left="709"/>
        <w:rPr>
          <w:u w:val="single"/>
        </w:rPr>
      </w:pPr>
    </w:p>
    <w:p w:rsidR="00105384" w:rsidRPr="00F06170" w:rsidRDefault="00105384" w:rsidP="00114A24">
      <w:pPr>
        <w:ind w:left="709"/>
        <w:rPr>
          <w:u w:val="single"/>
        </w:rPr>
      </w:pPr>
      <w:r w:rsidRPr="00F06170">
        <w:rPr>
          <w:u w:val="single"/>
        </w:rPr>
        <w:t>Option 3:</w:t>
      </w:r>
    </w:p>
    <w:p w:rsidR="002230D4" w:rsidRDefault="002230D4" w:rsidP="00114A24">
      <w:pPr>
        <w:ind w:left="709"/>
      </w:pPr>
      <w:r>
        <w:t>Option 3 is not to progress the scheme further.</w:t>
      </w:r>
      <w:r w:rsidR="00011761">
        <w:t xml:space="preserve">  </w:t>
      </w:r>
      <w:r>
        <w:t xml:space="preserve"> </w:t>
      </w:r>
    </w:p>
    <w:p w:rsidR="000C7394" w:rsidRDefault="000C7394" w:rsidP="00A92607">
      <w:pPr>
        <w:ind w:left="709" w:hanging="709"/>
        <w:rPr>
          <w:szCs w:val="24"/>
        </w:rPr>
      </w:pPr>
    </w:p>
    <w:p w:rsidR="00BB2625" w:rsidRDefault="00BB2625" w:rsidP="00C11C7E">
      <w:pPr>
        <w:rPr>
          <w:b/>
          <w:sz w:val="28"/>
        </w:rPr>
      </w:pPr>
    </w:p>
    <w:p w:rsidR="00C11C7E" w:rsidRPr="00E9733C" w:rsidRDefault="00C11C7E" w:rsidP="00C11C7E">
      <w:pPr>
        <w:rPr>
          <w:b/>
          <w:sz w:val="28"/>
        </w:rPr>
      </w:pPr>
      <w:r>
        <w:rPr>
          <w:b/>
          <w:sz w:val="28"/>
        </w:rPr>
        <w:lastRenderedPageBreak/>
        <w:t>5</w:t>
      </w:r>
      <w:r w:rsidRPr="00E9733C">
        <w:rPr>
          <w:b/>
          <w:sz w:val="28"/>
        </w:rPr>
        <w:t>.0</w:t>
      </w:r>
      <w:r w:rsidRPr="00E9733C">
        <w:rPr>
          <w:b/>
          <w:sz w:val="28"/>
        </w:rPr>
        <w:tab/>
      </w:r>
      <w:r w:rsidR="008A3918">
        <w:rPr>
          <w:b/>
          <w:sz w:val="28"/>
        </w:rPr>
        <w:t xml:space="preserve">Financial </w:t>
      </w:r>
      <w:r>
        <w:rPr>
          <w:b/>
          <w:sz w:val="28"/>
        </w:rPr>
        <w:t>Risks and Mitigation</w:t>
      </w:r>
    </w:p>
    <w:p w:rsidR="00C11C7E" w:rsidRDefault="00C11C7E" w:rsidP="00B553EF">
      <w:pPr>
        <w:ind w:left="709" w:hanging="709"/>
        <w:rPr>
          <w:szCs w:val="24"/>
        </w:rPr>
      </w:pPr>
    </w:p>
    <w:p w:rsidR="00DC2071" w:rsidRDefault="00DC2071" w:rsidP="00B553EF">
      <w:pPr>
        <w:ind w:left="709" w:hanging="709"/>
        <w:rPr>
          <w:szCs w:val="24"/>
        </w:rPr>
      </w:pPr>
      <w:r>
        <w:rPr>
          <w:szCs w:val="24"/>
        </w:rPr>
        <w:t>5.1</w:t>
      </w:r>
      <w:r>
        <w:rPr>
          <w:szCs w:val="24"/>
        </w:rPr>
        <w:tab/>
        <w:t xml:space="preserve">The capital cost estimate for Option 1 is </w:t>
      </w:r>
      <w:r>
        <w:t>£5.939</w:t>
      </w:r>
      <w:r w:rsidR="004A50D5">
        <w:t xml:space="preserve"> </w:t>
      </w:r>
      <w:r>
        <w:t>million</w:t>
      </w:r>
      <w:r w:rsidR="008A3918">
        <w:t>.  This may increase further</w:t>
      </w:r>
      <w:r w:rsidR="001C2479">
        <w:t>, by an estimated £800,000,</w:t>
      </w:r>
      <w:r w:rsidR="008A3918">
        <w:t xml:space="preserve"> if any of the potential revisions to the scheme, as an outcome of the consultation detailed in Table 3 at Appendix </w:t>
      </w:r>
      <w:r w:rsidR="00140F2B">
        <w:t>D of this report</w:t>
      </w:r>
      <w:r w:rsidR="008A3918">
        <w:t xml:space="preserve">, are included in the scheme following </w:t>
      </w:r>
      <w:r w:rsidR="00CE6638">
        <w:t>further investigation</w:t>
      </w:r>
      <w:r>
        <w:t xml:space="preserve">.  </w:t>
      </w:r>
    </w:p>
    <w:p w:rsidR="00DC2071" w:rsidRDefault="00DC2071" w:rsidP="00B553EF">
      <w:pPr>
        <w:ind w:left="709" w:hanging="709"/>
        <w:rPr>
          <w:szCs w:val="24"/>
        </w:rPr>
      </w:pPr>
    </w:p>
    <w:p w:rsidR="00627683" w:rsidRPr="00CA325E" w:rsidRDefault="00FC1228" w:rsidP="00807692">
      <w:pPr>
        <w:ind w:left="709" w:hanging="709"/>
        <w:rPr>
          <w:rFonts w:cs="Arial"/>
        </w:rPr>
      </w:pPr>
      <w:r>
        <w:rPr>
          <w:szCs w:val="24"/>
        </w:rPr>
        <w:t>5.2</w:t>
      </w:r>
      <w:r w:rsidR="00DC2071">
        <w:rPr>
          <w:szCs w:val="24"/>
        </w:rPr>
        <w:tab/>
      </w:r>
      <w:r w:rsidR="00627683" w:rsidRPr="009E7A82">
        <w:rPr>
          <w:rFonts w:cs="Arial"/>
        </w:rPr>
        <w:t>At this point in time there is no secured funding for the £2.2</w:t>
      </w:r>
      <w:r w:rsidR="00FF34E5">
        <w:rPr>
          <w:rFonts w:cs="Arial"/>
        </w:rPr>
        <w:t xml:space="preserve">37 million </w:t>
      </w:r>
      <w:r w:rsidR="00627683" w:rsidRPr="009E7A82">
        <w:rPr>
          <w:rFonts w:cs="Arial"/>
        </w:rPr>
        <w:t xml:space="preserve">shortfall on the cost of the Option 1 Scheme, </w:t>
      </w:r>
      <w:proofErr w:type="gramStart"/>
      <w:r w:rsidR="00627683" w:rsidRPr="009E7A82">
        <w:rPr>
          <w:rFonts w:cs="Arial"/>
        </w:rPr>
        <w:t>nor</w:t>
      </w:r>
      <w:proofErr w:type="gramEnd"/>
      <w:r w:rsidR="00627683" w:rsidRPr="009E7A82">
        <w:rPr>
          <w:rFonts w:cs="Arial"/>
        </w:rPr>
        <w:t xml:space="preserve"> for the £800</w:t>
      </w:r>
      <w:r w:rsidR="001B0519">
        <w:rPr>
          <w:rFonts w:cs="Arial"/>
        </w:rPr>
        <w:t>,000</w:t>
      </w:r>
      <w:r w:rsidR="00627683" w:rsidRPr="009E7A82">
        <w:rPr>
          <w:rFonts w:cs="Arial"/>
        </w:rPr>
        <w:t xml:space="preserve"> associated with the additional costs.  A bid has been made to the CWLEP Growth Fund for </w:t>
      </w:r>
      <w:r w:rsidR="00FF34E5">
        <w:rPr>
          <w:rFonts w:cs="Arial"/>
        </w:rPr>
        <w:t xml:space="preserve">£2.237 million </w:t>
      </w:r>
      <w:r w:rsidR="00627683" w:rsidRPr="009E7A82">
        <w:rPr>
          <w:rFonts w:cs="Arial"/>
        </w:rPr>
        <w:t>and opportunities for other funding are also being explored.  Should these bids be unsuccessful then the balance would need to be underwritten by the Transport and Highways Business Unit.  In practice this would mean a call on other existing capital budgets such as the Highways Maintenance Programme.</w:t>
      </w:r>
    </w:p>
    <w:p w:rsidR="002670D0" w:rsidRDefault="002670D0" w:rsidP="00B553EF">
      <w:pPr>
        <w:ind w:left="709" w:hanging="709"/>
        <w:rPr>
          <w:szCs w:val="24"/>
        </w:rPr>
      </w:pPr>
    </w:p>
    <w:p w:rsidR="00AC6DB4" w:rsidRDefault="00AC6DB4" w:rsidP="00382B47">
      <w:pPr>
        <w:ind w:left="709" w:hanging="709"/>
        <w:rPr>
          <w:szCs w:val="24"/>
        </w:rPr>
      </w:pPr>
      <w:r>
        <w:rPr>
          <w:szCs w:val="24"/>
        </w:rPr>
        <w:t>5.3</w:t>
      </w:r>
      <w:r>
        <w:rPr>
          <w:szCs w:val="24"/>
        </w:rPr>
        <w:tab/>
      </w:r>
      <w:r w:rsidRPr="009E4E4C">
        <w:rPr>
          <w:szCs w:val="24"/>
        </w:rPr>
        <w:t xml:space="preserve">If Option 1 </w:t>
      </w:r>
      <w:r w:rsidR="00E21740" w:rsidRPr="009E4E4C">
        <w:rPr>
          <w:szCs w:val="24"/>
        </w:rPr>
        <w:t xml:space="preserve">is </w:t>
      </w:r>
      <w:r w:rsidRPr="009E4E4C">
        <w:rPr>
          <w:szCs w:val="24"/>
        </w:rPr>
        <w:t xml:space="preserve">progressed the </w:t>
      </w:r>
      <w:r w:rsidR="001C2479">
        <w:rPr>
          <w:szCs w:val="24"/>
        </w:rPr>
        <w:t xml:space="preserve">additional </w:t>
      </w:r>
      <w:r w:rsidRPr="009E4E4C">
        <w:rPr>
          <w:szCs w:val="24"/>
        </w:rPr>
        <w:t>estimated cost of the detailed design phase would be in the region of £480,000</w:t>
      </w:r>
      <w:r w:rsidR="00863DC6">
        <w:rPr>
          <w:szCs w:val="24"/>
        </w:rPr>
        <w:t xml:space="preserve">, which cost is included in </w:t>
      </w:r>
      <w:r w:rsidR="00627683">
        <w:rPr>
          <w:szCs w:val="24"/>
        </w:rPr>
        <w:t xml:space="preserve">the </w:t>
      </w:r>
      <w:r w:rsidR="00627683">
        <w:t>£5.939 million capital cost estimate</w:t>
      </w:r>
      <w:r w:rsidRPr="009E4E4C">
        <w:rPr>
          <w:szCs w:val="24"/>
        </w:rPr>
        <w:t>.  This would include the undertaking of necessary surveys.</w:t>
      </w:r>
      <w:r w:rsidR="009E4E4C">
        <w:rPr>
          <w:szCs w:val="24"/>
        </w:rPr>
        <w:t xml:space="preserve">  In the event that Cabinet decides, following</w:t>
      </w:r>
      <w:r>
        <w:rPr>
          <w:szCs w:val="24"/>
        </w:rPr>
        <w:t xml:space="preserve"> </w:t>
      </w:r>
      <w:r w:rsidR="009E4E4C">
        <w:rPr>
          <w:szCs w:val="24"/>
        </w:rPr>
        <w:t>the detailed design phase, to reduce the proposed scheme or scale it back to the original proposal</w:t>
      </w:r>
      <w:r w:rsidR="00A24F12">
        <w:rPr>
          <w:szCs w:val="24"/>
        </w:rPr>
        <w:t xml:space="preserve"> (i.e. Option 2), the bulk of this expenditure would not have been wasted as it would also be necessary for Option 2. </w:t>
      </w:r>
    </w:p>
    <w:p w:rsidR="00AC6DB4" w:rsidRDefault="00AC6DB4" w:rsidP="00382B47">
      <w:pPr>
        <w:ind w:left="709" w:hanging="709"/>
        <w:rPr>
          <w:szCs w:val="24"/>
        </w:rPr>
      </w:pPr>
    </w:p>
    <w:p w:rsidR="00382B47" w:rsidRDefault="00AC6DB4" w:rsidP="00382B47">
      <w:pPr>
        <w:ind w:left="709" w:hanging="709"/>
        <w:rPr>
          <w:szCs w:val="24"/>
        </w:rPr>
      </w:pPr>
      <w:r>
        <w:rPr>
          <w:szCs w:val="24"/>
        </w:rPr>
        <w:t>5.4</w:t>
      </w:r>
      <w:r w:rsidR="002670D0">
        <w:rPr>
          <w:szCs w:val="24"/>
        </w:rPr>
        <w:tab/>
      </w:r>
      <w:r w:rsidR="00382B47">
        <w:rPr>
          <w:szCs w:val="24"/>
        </w:rPr>
        <w:t xml:space="preserve">If </w:t>
      </w:r>
      <w:r w:rsidR="00E539EF">
        <w:rPr>
          <w:szCs w:val="24"/>
        </w:rPr>
        <w:t xml:space="preserve">Option 3 is </w:t>
      </w:r>
      <w:r w:rsidR="00D24A73">
        <w:rPr>
          <w:szCs w:val="24"/>
        </w:rPr>
        <w:t>chosen</w:t>
      </w:r>
      <w:r w:rsidR="009F7064">
        <w:rPr>
          <w:szCs w:val="24"/>
        </w:rPr>
        <w:t xml:space="preserve"> as the most appropriate way forward</w:t>
      </w:r>
      <w:r w:rsidR="001C2479">
        <w:rPr>
          <w:szCs w:val="24"/>
        </w:rPr>
        <w:t xml:space="preserve"> now</w:t>
      </w:r>
      <w:r w:rsidR="00807692">
        <w:rPr>
          <w:szCs w:val="24"/>
        </w:rPr>
        <w:t>,</w:t>
      </w:r>
      <w:r w:rsidR="001C2479">
        <w:rPr>
          <w:szCs w:val="24"/>
        </w:rPr>
        <w:t xml:space="preserve"> or </w:t>
      </w:r>
      <w:r w:rsidR="00807692">
        <w:rPr>
          <w:szCs w:val="24"/>
        </w:rPr>
        <w:t xml:space="preserve">if the scheme does not proceed to delivery </w:t>
      </w:r>
      <w:r w:rsidR="001C2479">
        <w:rPr>
          <w:szCs w:val="24"/>
        </w:rPr>
        <w:t>after the detailed design work is completed</w:t>
      </w:r>
      <w:r w:rsidR="00D24A73">
        <w:rPr>
          <w:szCs w:val="24"/>
        </w:rPr>
        <w:t xml:space="preserve">, </w:t>
      </w:r>
      <w:r w:rsidR="00140F2B">
        <w:rPr>
          <w:szCs w:val="24"/>
        </w:rPr>
        <w:t xml:space="preserve">the </w:t>
      </w:r>
      <w:r w:rsidR="00D24A73">
        <w:rPr>
          <w:szCs w:val="24"/>
        </w:rPr>
        <w:t>capital costs incurred to that point</w:t>
      </w:r>
      <w:r w:rsidR="00037BE1">
        <w:rPr>
          <w:szCs w:val="24"/>
        </w:rPr>
        <w:t>, estimated at £2</w:t>
      </w:r>
      <w:r w:rsidR="00A01ACC">
        <w:rPr>
          <w:szCs w:val="24"/>
        </w:rPr>
        <w:t>5</w:t>
      </w:r>
      <w:r w:rsidR="00037BE1">
        <w:rPr>
          <w:szCs w:val="24"/>
        </w:rPr>
        <w:t>3</w:t>
      </w:r>
      <w:r w:rsidR="001C2479">
        <w:rPr>
          <w:szCs w:val="24"/>
        </w:rPr>
        <w:t xml:space="preserve">,000 </w:t>
      </w:r>
      <w:r w:rsidR="00863DC6">
        <w:rPr>
          <w:szCs w:val="24"/>
        </w:rPr>
        <w:t>(now) or £7</w:t>
      </w:r>
      <w:r w:rsidR="00A01ACC">
        <w:rPr>
          <w:szCs w:val="24"/>
        </w:rPr>
        <w:t>3</w:t>
      </w:r>
      <w:r w:rsidR="00863DC6">
        <w:rPr>
          <w:szCs w:val="24"/>
        </w:rPr>
        <w:t>3,000 (after detailed design work)</w:t>
      </w:r>
      <w:r w:rsidR="00037BE1">
        <w:rPr>
          <w:szCs w:val="24"/>
        </w:rPr>
        <w:t xml:space="preserve">, </w:t>
      </w:r>
      <w:r w:rsidR="007F66EF">
        <w:rPr>
          <w:szCs w:val="24"/>
        </w:rPr>
        <w:t xml:space="preserve">would </w:t>
      </w:r>
      <w:r w:rsidR="00D24A73">
        <w:rPr>
          <w:szCs w:val="24"/>
        </w:rPr>
        <w:t xml:space="preserve">be deemed abortive and would need to be </w:t>
      </w:r>
      <w:r w:rsidR="001C2479">
        <w:rPr>
          <w:szCs w:val="24"/>
        </w:rPr>
        <w:t>funded from</w:t>
      </w:r>
      <w:r w:rsidR="00577ED6">
        <w:rPr>
          <w:szCs w:val="24"/>
        </w:rPr>
        <w:t xml:space="preserve"> </w:t>
      </w:r>
      <w:r w:rsidR="001C2479">
        <w:rPr>
          <w:szCs w:val="24"/>
        </w:rPr>
        <w:t xml:space="preserve">the </w:t>
      </w:r>
      <w:r w:rsidR="00577ED6">
        <w:rPr>
          <w:szCs w:val="24"/>
        </w:rPr>
        <w:t xml:space="preserve">revenue </w:t>
      </w:r>
      <w:r w:rsidR="001C2479">
        <w:rPr>
          <w:szCs w:val="24"/>
        </w:rPr>
        <w:t>budget of</w:t>
      </w:r>
      <w:r w:rsidR="00D24A73">
        <w:rPr>
          <w:szCs w:val="24"/>
        </w:rPr>
        <w:t xml:space="preserve"> </w:t>
      </w:r>
      <w:r w:rsidR="00382B47">
        <w:rPr>
          <w:szCs w:val="24"/>
        </w:rPr>
        <w:t xml:space="preserve">the sponsoring Business Unit, in this case Transport and Highways. </w:t>
      </w:r>
    </w:p>
    <w:p w:rsidR="00382B47" w:rsidRDefault="00382B47" w:rsidP="009F7064">
      <w:pPr>
        <w:ind w:left="709" w:hanging="709"/>
        <w:rPr>
          <w:szCs w:val="24"/>
        </w:rPr>
      </w:pPr>
    </w:p>
    <w:p w:rsidR="00E9733C" w:rsidRPr="00E9733C" w:rsidRDefault="00FC1228" w:rsidP="002234C0">
      <w:pPr>
        <w:ind w:left="709" w:hanging="709"/>
        <w:rPr>
          <w:b/>
          <w:sz w:val="28"/>
        </w:rPr>
      </w:pPr>
      <w:r>
        <w:rPr>
          <w:b/>
          <w:sz w:val="28"/>
        </w:rPr>
        <w:t>6</w:t>
      </w:r>
      <w:r w:rsidR="00E9733C" w:rsidRPr="00E9733C">
        <w:rPr>
          <w:b/>
          <w:sz w:val="28"/>
        </w:rPr>
        <w:t>.0</w:t>
      </w:r>
      <w:r w:rsidR="00E9733C" w:rsidRPr="00E9733C">
        <w:rPr>
          <w:b/>
          <w:sz w:val="28"/>
        </w:rPr>
        <w:tab/>
      </w:r>
      <w:r w:rsidR="002234C0">
        <w:rPr>
          <w:b/>
          <w:sz w:val="28"/>
        </w:rPr>
        <w:t xml:space="preserve">Estimated </w:t>
      </w:r>
      <w:r w:rsidR="00E9733C" w:rsidRPr="00E9733C">
        <w:rPr>
          <w:b/>
          <w:sz w:val="28"/>
        </w:rPr>
        <w:t>Timescales associated with the decision and next steps</w:t>
      </w:r>
    </w:p>
    <w:p w:rsidR="00E9733C" w:rsidRDefault="00E9733C"/>
    <w:p w:rsidR="00334B3B" w:rsidRDefault="00FC1228" w:rsidP="00BC11D0">
      <w:pPr>
        <w:ind w:left="709" w:hanging="709"/>
      </w:pPr>
      <w:r>
        <w:t>6</w:t>
      </w:r>
      <w:r w:rsidR="00E9733C">
        <w:t>.1</w:t>
      </w:r>
      <w:r w:rsidR="00E9733C">
        <w:tab/>
      </w:r>
      <w:r w:rsidR="00BC11D0">
        <w:t xml:space="preserve">If </w:t>
      </w:r>
      <w:r w:rsidR="007927AC">
        <w:t xml:space="preserve">Cabinet endorses the progression of </w:t>
      </w:r>
      <w:r w:rsidR="00BC11D0">
        <w:t xml:space="preserve">Option 1, </w:t>
      </w:r>
      <w:r w:rsidR="007927AC">
        <w:t xml:space="preserve">officers will </w:t>
      </w:r>
      <w:r w:rsidR="00334B3B">
        <w:t>undertake the following stages of further development work:</w:t>
      </w:r>
      <w:r w:rsidR="009E5D55">
        <w:t xml:space="preserve"> </w:t>
      </w:r>
    </w:p>
    <w:p w:rsidR="00333133" w:rsidRDefault="00333133" w:rsidP="00334B3B">
      <w:pPr>
        <w:pStyle w:val="ListParagraph"/>
        <w:numPr>
          <w:ilvl w:val="0"/>
          <w:numId w:val="30"/>
        </w:numPr>
        <w:ind w:left="1418" w:hanging="425"/>
      </w:pPr>
      <w:r>
        <w:t xml:space="preserve">Investigate capital funding option(s) to cover the additional costs associated with Option1 </w:t>
      </w:r>
      <w:r w:rsidRPr="00334B3B">
        <w:rPr>
          <w:rFonts w:cs="Arial"/>
        </w:rPr>
        <w:t>(November 2015 – May 2016)</w:t>
      </w:r>
    </w:p>
    <w:p w:rsidR="00334B3B" w:rsidRPr="00334B3B" w:rsidRDefault="00334B3B" w:rsidP="00334B3B">
      <w:pPr>
        <w:pStyle w:val="ListParagraph"/>
        <w:numPr>
          <w:ilvl w:val="0"/>
          <w:numId w:val="30"/>
        </w:numPr>
        <w:ind w:left="1418" w:hanging="425"/>
      </w:pPr>
      <w:r>
        <w:t>U</w:t>
      </w:r>
      <w:r w:rsidRPr="00334B3B">
        <w:rPr>
          <w:rFonts w:cs="Arial"/>
        </w:rPr>
        <w:t>ndertake Voluntary Land Negotiations (November 2015 – May 2016)</w:t>
      </w:r>
    </w:p>
    <w:p w:rsidR="00334B3B" w:rsidRPr="00334B3B" w:rsidRDefault="00334B3B" w:rsidP="00334B3B">
      <w:pPr>
        <w:pStyle w:val="ListParagraph"/>
        <w:numPr>
          <w:ilvl w:val="0"/>
          <w:numId w:val="30"/>
        </w:numPr>
        <w:ind w:left="1418" w:hanging="425"/>
      </w:pPr>
      <w:r w:rsidRPr="00334B3B">
        <w:rPr>
          <w:rFonts w:cs="Arial"/>
        </w:rPr>
        <w:t>Undertake further environmental and other surveys and assessments to inform both Detailed Design and possible Planning Application (November 2015 – May 2016)</w:t>
      </w:r>
    </w:p>
    <w:p w:rsidR="00334B3B" w:rsidRPr="00687F62" w:rsidRDefault="00334B3B" w:rsidP="00334B3B">
      <w:pPr>
        <w:pStyle w:val="ListParagraph"/>
        <w:numPr>
          <w:ilvl w:val="0"/>
          <w:numId w:val="30"/>
        </w:numPr>
        <w:ind w:left="1418" w:hanging="425"/>
      </w:pPr>
      <w:r>
        <w:t>D</w:t>
      </w:r>
      <w:r w:rsidRPr="00334B3B">
        <w:rPr>
          <w:rFonts w:cs="Arial"/>
          <w:szCs w:val="24"/>
        </w:rPr>
        <w:t xml:space="preserve">evelop </w:t>
      </w:r>
      <w:r>
        <w:rPr>
          <w:rFonts w:cs="Arial"/>
          <w:szCs w:val="24"/>
        </w:rPr>
        <w:t>the</w:t>
      </w:r>
      <w:r w:rsidRPr="00334B3B">
        <w:rPr>
          <w:rFonts w:cs="Arial"/>
          <w:szCs w:val="24"/>
        </w:rPr>
        <w:t xml:space="preserve"> Detailed Design</w:t>
      </w:r>
      <w:r>
        <w:rPr>
          <w:rFonts w:cs="Arial"/>
          <w:szCs w:val="24"/>
        </w:rPr>
        <w:t xml:space="preserve"> of the scheme </w:t>
      </w:r>
      <w:r w:rsidR="00333133">
        <w:rPr>
          <w:rFonts w:cs="Arial"/>
          <w:szCs w:val="24"/>
        </w:rPr>
        <w:t xml:space="preserve">and update the capital cost estimate </w:t>
      </w:r>
      <w:r>
        <w:rPr>
          <w:rFonts w:cs="Arial"/>
          <w:szCs w:val="24"/>
        </w:rPr>
        <w:t>(</w:t>
      </w:r>
      <w:r w:rsidRPr="00334B3B">
        <w:rPr>
          <w:rFonts w:cs="Arial"/>
          <w:szCs w:val="24"/>
        </w:rPr>
        <w:t>January 2016 – May 2016</w:t>
      </w:r>
      <w:r>
        <w:rPr>
          <w:rFonts w:cs="Arial"/>
          <w:szCs w:val="24"/>
        </w:rPr>
        <w:t>)</w:t>
      </w:r>
    </w:p>
    <w:p w:rsidR="001A4C83" w:rsidRPr="001A4C83" w:rsidRDefault="001A4C83" w:rsidP="00687F62">
      <w:pPr>
        <w:pStyle w:val="ListParagraph"/>
        <w:numPr>
          <w:ilvl w:val="0"/>
          <w:numId w:val="30"/>
        </w:numPr>
        <w:ind w:left="1418" w:hanging="425"/>
      </w:pPr>
      <w:r>
        <w:t xml:space="preserve">Report </w:t>
      </w:r>
      <w:r>
        <w:rPr>
          <w:rFonts w:cs="Arial"/>
          <w:szCs w:val="24"/>
        </w:rPr>
        <w:t>back to Cabinet</w:t>
      </w:r>
      <w:r w:rsidRPr="00334B3B">
        <w:rPr>
          <w:rFonts w:cs="Arial"/>
          <w:szCs w:val="24"/>
        </w:rPr>
        <w:t xml:space="preserve"> </w:t>
      </w:r>
      <w:r>
        <w:rPr>
          <w:rFonts w:cs="Arial"/>
          <w:szCs w:val="24"/>
        </w:rPr>
        <w:t>(May 2016 – July 2016)</w:t>
      </w:r>
    </w:p>
    <w:p w:rsidR="00687F62" w:rsidRDefault="00687F62" w:rsidP="00687F62">
      <w:pPr>
        <w:pStyle w:val="ListParagraph"/>
        <w:numPr>
          <w:ilvl w:val="0"/>
          <w:numId w:val="30"/>
        </w:numPr>
        <w:ind w:left="1418" w:hanging="425"/>
      </w:pPr>
      <w:r>
        <w:rPr>
          <w:rFonts w:cs="Arial"/>
          <w:szCs w:val="24"/>
        </w:rPr>
        <w:t>Report back to County Council (</w:t>
      </w:r>
      <w:r w:rsidR="001A4C83">
        <w:rPr>
          <w:rFonts w:cs="Arial"/>
          <w:szCs w:val="24"/>
        </w:rPr>
        <w:t xml:space="preserve">June </w:t>
      </w:r>
      <w:r>
        <w:rPr>
          <w:rFonts w:cs="Arial"/>
          <w:szCs w:val="24"/>
        </w:rPr>
        <w:t xml:space="preserve">2016 </w:t>
      </w:r>
      <w:r w:rsidR="001A4C83">
        <w:rPr>
          <w:rFonts w:cs="Arial"/>
          <w:szCs w:val="24"/>
        </w:rPr>
        <w:t>–</w:t>
      </w:r>
      <w:r>
        <w:rPr>
          <w:rFonts w:cs="Arial"/>
          <w:szCs w:val="24"/>
        </w:rPr>
        <w:t xml:space="preserve"> </w:t>
      </w:r>
      <w:r w:rsidR="001A4C83">
        <w:rPr>
          <w:rFonts w:cs="Arial"/>
          <w:szCs w:val="24"/>
        </w:rPr>
        <w:t xml:space="preserve">August </w:t>
      </w:r>
      <w:r>
        <w:rPr>
          <w:rFonts w:cs="Arial"/>
          <w:szCs w:val="24"/>
        </w:rPr>
        <w:t>2016)</w:t>
      </w:r>
    </w:p>
    <w:p w:rsidR="00334B3B" w:rsidRPr="00115E05" w:rsidRDefault="00334B3B" w:rsidP="00334B3B">
      <w:pPr>
        <w:ind w:left="709" w:hanging="709"/>
        <w:rPr>
          <w:rFonts w:cs="Arial"/>
          <w:szCs w:val="24"/>
        </w:rPr>
      </w:pPr>
      <w:r>
        <w:tab/>
      </w:r>
    </w:p>
    <w:p w:rsidR="00BB2625" w:rsidRDefault="00BB2625" w:rsidP="00E9733C">
      <w:pPr>
        <w:rPr>
          <w:b/>
          <w:sz w:val="28"/>
        </w:rPr>
      </w:pPr>
    </w:p>
    <w:p w:rsidR="00BB2625" w:rsidRDefault="00BB2625" w:rsidP="00E9733C">
      <w:pPr>
        <w:rPr>
          <w:b/>
          <w:sz w:val="28"/>
        </w:rPr>
      </w:pPr>
    </w:p>
    <w:p w:rsidR="00E9733C" w:rsidRPr="00E9733C" w:rsidRDefault="00E9733C" w:rsidP="00E9733C">
      <w:pPr>
        <w:rPr>
          <w:b/>
          <w:sz w:val="28"/>
        </w:rPr>
      </w:pPr>
      <w:r w:rsidRPr="00E9733C">
        <w:rPr>
          <w:b/>
          <w:sz w:val="28"/>
        </w:rPr>
        <w:lastRenderedPageBreak/>
        <w:t>Background papers</w:t>
      </w:r>
    </w:p>
    <w:p w:rsidR="00E9733C" w:rsidRDefault="00E9733C" w:rsidP="00E9733C">
      <w:pPr>
        <w:ind w:firstLine="720"/>
      </w:pPr>
    </w:p>
    <w:p w:rsidR="00300DC2" w:rsidRDefault="00E9733C" w:rsidP="00E9733C">
      <w:r>
        <w:t>1.</w:t>
      </w:r>
      <w:r>
        <w:tab/>
      </w:r>
      <w:r w:rsidR="0093447C">
        <w:t>Preliminary Design Proposals</w:t>
      </w:r>
    </w:p>
    <w:p w:rsidR="00300DC2" w:rsidRDefault="00300DC2" w:rsidP="00300DC2">
      <w:pPr>
        <w:pStyle w:val="ListParagraph"/>
        <w:numPr>
          <w:ilvl w:val="0"/>
          <w:numId w:val="15"/>
        </w:numPr>
      </w:pPr>
      <w:r>
        <w:t>Drawing No. 5131052-ATK-BCP-DR-100-10-E; and</w:t>
      </w:r>
    </w:p>
    <w:p w:rsidR="00300DC2" w:rsidRDefault="00300DC2" w:rsidP="00E9733C">
      <w:pPr>
        <w:pStyle w:val="ListParagraph"/>
        <w:numPr>
          <w:ilvl w:val="0"/>
          <w:numId w:val="15"/>
        </w:numPr>
      </w:pPr>
      <w:r>
        <w:t>Drawing No. 5131052-ATK-BCP-DR-100-11-E</w:t>
      </w:r>
    </w:p>
    <w:p w:rsidR="00300DC2" w:rsidRDefault="00300DC2" w:rsidP="00E9733C"/>
    <w:p w:rsidR="00DC724A" w:rsidRPr="00DC724A" w:rsidRDefault="00E9733C" w:rsidP="0055685A">
      <w:pPr>
        <w:ind w:left="720" w:hanging="720"/>
        <w:rPr>
          <w:u w:val="single"/>
        </w:rPr>
      </w:pPr>
      <w:r>
        <w:t>2.</w:t>
      </w:r>
      <w:r>
        <w:tab/>
      </w:r>
      <w:r w:rsidR="00DC724A" w:rsidRPr="00DC724A">
        <w:t xml:space="preserve">Breakdown of the </w:t>
      </w:r>
      <w:r w:rsidR="000B42EA">
        <w:t>Updat</w:t>
      </w:r>
      <w:r w:rsidR="00DC724A" w:rsidRPr="00DC724A">
        <w:t>ed Capit</w:t>
      </w:r>
      <w:r w:rsidR="009874FA">
        <w:t>al Cost of the Scheme (Option 1</w:t>
      </w:r>
      <w:r w:rsidR="00DC724A" w:rsidRPr="00DC724A">
        <w:t>)</w:t>
      </w:r>
      <w:r w:rsidR="0055685A">
        <w:t xml:space="preserve"> – Excluding Potential Revisions as an Outcome of the Consultation</w:t>
      </w:r>
    </w:p>
    <w:p w:rsidR="004F13CC" w:rsidRDefault="004F13CC"/>
    <w:p w:rsidR="00A929B2" w:rsidRDefault="00A929B2" w:rsidP="00EE4E2E">
      <w:pPr>
        <w:ind w:left="709" w:hanging="709"/>
      </w:pPr>
      <w:r>
        <w:t>3.</w:t>
      </w:r>
      <w:r>
        <w:tab/>
        <w:t xml:space="preserve">Consultation Report </w:t>
      </w:r>
      <w:r w:rsidR="007D2B91">
        <w:t xml:space="preserve">and Appendices </w:t>
      </w:r>
      <w:r>
        <w:t>(Produced by Warwickshire Observatory)</w:t>
      </w:r>
    </w:p>
    <w:p w:rsidR="004934DF" w:rsidRDefault="004934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691"/>
        <w:gridCol w:w="4115"/>
      </w:tblGrid>
      <w:tr w:rsidR="00E9733C" w:rsidTr="00403968">
        <w:tc>
          <w:tcPr>
            <w:tcW w:w="2516" w:type="dxa"/>
            <w:shd w:val="clear" w:color="auto" w:fill="auto"/>
          </w:tcPr>
          <w:p w:rsidR="00E9733C" w:rsidRDefault="00E9733C" w:rsidP="004D6ED4"/>
        </w:tc>
        <w:tc>
          <w:tcPr>
            <w:tcW w:w="2691" w:type="dxa"/>
            <w:shd w:val="clear" w:color="auto" w:fill="auto"/>
          </w:tcPr>
          <w:p w:rsidR="00E9733C" w:rsidRPr="009A4A1F" w:rsidRDefault="00E9733C" w:rsidP="004D6ED4">
            <w:pPr>
              <w:rPr>
                <w:b/>
              </w:rPr>
            </w:pPr>
            <w:r w:rsidRPr="009A4A1F">
              <w:rPr>
                <w:b/>
              </w:rPr>
              <w:t>Name</w:t>
            </w:r>
          </w:p>
        </w:tc>
        <w:tc>
          <w:tcPr>
            <w:tcW w:w="4115" w:type="dxa"/>
            <w:shd w:val="clear" w:color="auto" w:fill="auto"/>
          </w:tcPr>
          <w:p w:rsidR="00E9733C" w:rsidRPr="009A4A1F" w:rsidRDefault="00E9733C" w:rsidP="004D6ED4">
            <w:pPr>
              <w:rPr>
                <w:b/>
              </w:rPr>
            </w:pPr>
            <w:r w:rsidRPr="009A4A1F">
              <w:rPr>
                <w:b/>
              </w:rPr>
              <w:t>Contact Information</w:t>
            </w:r>
          </w:p>
        </w:tc>
      </w:tr>
      <w:tr w:rsidR="00C80735" w:rsidTr="00403968">
        <w:tc>
          <w:tcPr>
            <w:tcW w:w="2516" w:type="dxa"/>
            <w:shd w:val="clear" w:color="auto" w:fill="auto"/>
          </w:tcPr>
          <w:p w:rsidR="00C80735" w:rsidRDefault="00C80735" w:rsidP="004D6ED4">
            <w:r>
              <w:t>Report Author</w:t>
            </w:r>
          </w:p>
        </w:tc>
        <w:tc>
          <w:tcPr>
            <w:tcW w:w="2691" w:type="dxa"/>
            <w:shd w:val="clear" w:color="auto" w:fill="auto"/>
          </w:tcPr>
          <w:p w:rsidR="00C80735" w:rsidRDefault="00C80735" w:rsidP="0031135E">
            <w:bookmarkStart w:id="1" w:name="ReportAuthor"/>
            <w:bookmarkEnd w:id="1"/>
            <w:r>
              <w:t>Nigel Whyte</w:t>
            </w:r>
          </w:p>
        </w:tc>
        <w:bookmarkStart w:id="2" w:name="Contact1"/>
        <w:bookmarkEnd w:id="2"/>
        <w:tc>
          <w:tcPr>
            <w:tcW w:w="4115" w:type="dxa"/>
            <w:shd w:val="clear" w:color="auto" w:fill="auto"/>
          </w:tcPr>
          <w:p w:rsidR="00C80735" w:rsidRDefault="00C80735" w:rsidP="0031135E">
            <w:r>
              <w:fldChar w:fldCharType="begin"/>
            </w:r>
            <w:r>
              <w:instrText xml:space="preserve"> HYPERLINK "mailto:</w:instrText>
            </w:r>
            <w:r w:rsidRPr="00F407CC">
              <w:instrText>nigelwhyte@warwickshire.gov.uk</w:instrText>
            </w:r>
            <w:r>
              <w:instrText xml:space="preserve">" </w:instrText>
            </w:r>
            <w:r>
              <w:fldChar w:fldCharType="separate"/>
            </w:r>
            <w:r w:rsidRPr="00B55211">
              <w:rPr>
                <w:rStyle w:val="Hyperlink"/>
              </w:rPr>
              <w:t>nigelwhyte@warwickshire.gov.uk</w:t>
            </w:r>
            <w:r>
              <w:fldChar w:fldCharType="end"/>
            </w:r>
            <w:r>
              <w:t xml:space="preserve"> </w:t>
            </w:r>
          </w:p>
          <w:p w:rsidR="00C80735" w:rsidRDefault="00C80735" w:rsidP="0031135E">
            <w:r>
              <w:t>Tel: 01926 412179</w:t>
            </w:r>
          </w:p>
        </w:tc>
      </w:tr>
      <w:tr w:rsidR="00C80735" w:rsidTr="00403968">
        <w:tc>
          <w:tcPr>
            <w:tcW w:w="2516" w:type="dxa"/>
            <w:shd w:val="clear" w:color="auto" w:fill="auto"/>
          </w:tcPr>
          <w:p w:rsidR="00C80735" w:rsidRDefault="00C80735" w:rsidP="004D6ED4">
            <w:r>
              <w:t>Head of Service</w:t>
            </w:r>
          </w:p>
        </w:tc>
        <w:tc>
          <w:tcPr>
            <w:tcW w:w="2691" w:type="dxa"/>
            <w:shd w:val="clear" w:color="auto" w:fill="auto"/>
          </w:tcPr>
          <w:p w:rsidR="00C80735" w:rsidRDefault="00C80735" w:rsidP="0031135E">
            <w:bookmarkStart w:id="3" w:name="HeadofService"/>
            <w:bookmarkEnd w:id="3"/>
            <w:r>
              <w:t xml:space="preserve">Graeme </w:t>
            </w:r>
            <w:proofErr w:type="spellStart"/>
            <w:r>
              <w:t>Fitton</w:t>
            </w:r>
            <w:proofErr w:type="spellEnd"/>
          </w:p>
        </w:tc>
        <w:bookmarkStart w:id="4" w:name="Contact2"/>
        <w:bookmarkEnd w:id="4"/>
        <w:tc>
          <w:tcPr>
            <w:tcW w:w="4115" w:type="dxa"/>
            <w:shd w:val="clear" w:color="auto" w:fill="auto"/>
          </w:tcPr>
          <w:p w:rsidR="00C80735" w:rsidRDefault="00C80735" w:rsidP="0031135E">
            <w:r>
              <w:fldChar w:fldCharType="begin"/>
            </w:r>
            <w:r>
              <w:instrText xml:space="preserve"> HYPERLINK "mailto:</w:instrText>
            </w:r>
            <w:r w:rsidRPr="00F407CC">
              <w:instrText>graemefitton@warwickshire.gov.uk</w:instrText>
            </w:r>
            <w:r>
              <w:instrText xml:space="preserve">" </w:instrText>
            </w:r>
            <w:r>
              <w:fldChar w:fldCharType="separate"/>
            </w:r>
            <w:r w:rsidRPr="00B55211">
              <w:rPr>
                <w:rStyle w:val="Hyperlink"/>
              </w:rPr>
              <w:t>graemefitton@warwickshire.gov.uk</w:t>
            </w:r>
            <w:r>
              <w:fldChar w:fldCharType="end"/>
            </w:r>
            <w:r>
              <w:t xml:space="preserve"> </w:t>
            </w:r>
          </w:p>
          <w:p w:rsidR="00C80735" w:rsidRDefault="00C80735" w:rsidP="0031135E">
            <w:r>
              <w:t>Tel: 01926 412046</w:t>
            </w:r>
          </w:p>
        </w:tc>
      </w:tr>
      <w:tr w:rsidR="00C80735" w:rsidTr="00403968">
        <w:tc>
          <w:tcPr>
            <w:tcW w:w="2516" w:type="dxa"/>
            <w:shd w:val="clear" w:color="auto" w:fill="auto"/>
          </w:tcPr>
          <w:p w:rsidR="00C80735" w:rsidRDefault="00C80735" w:rsidP="004D6ED4">
            <w:r>
              <w:t>Strategic Director</w:t>
            </w:r>
          </w:p>
        </w:tc>
        <w:tc>
          <w:tcPr>
            <w:tcW w:w="2691" w:type="dxa"/>
            <w:shd w:val="clear" w:color="auto" w:fill="auto"/>
          </w:tcPr>
          <w:p w:rsidR="00C80735" w:rsidRDefault="00C80735" w:rsidP="0031135E">
            <w:bookmarkStart w:id="5" w:name="StrategicDirector"/>
            <w:bookmarkEnd w:id="5"/>
            <w:r>
              <w:t>Monica Fogarty</w:t>
            </w:r>
          </w:p>
        </w:tc>
        <w:bookmarkStart w:id="6" w:name="Contact3"/>
        <w:bookmarkEnd w:id="6"/>
        <w:tc>
          <w:tcPr>
            <w:tcW w:w="4115" w:type="dxa"/>
            <w:shd w:val="clear" w:color="auto" w:fill="auto"/>
          </w:tcPr>
          <w:p w:rsidR="00C80735" w:rsidRDefault="00C80735" w:rsidP="0031135E">
            <w:r>
              <w:fldChar w:fldCharType="begin"/>
            </w:r>
            <w:r>
              <w:instrText xml:space="preserve"> HYPERLINK "mailto:</w:instrText>
            </w:r>
            <w:r w:rsidRPr="00F407CC">
              <w:instrText>monicafogarty@warwickshire.gov.uk</w:instrText>
            </w:r>
            <w:r>
              <w:instrText xml:space="preserve">" </w:instrText>
            </w:r>
            <w:r>
              <w:fldChar w:fldCharType="separate"/>
            </w:r>
            <w:r w:rsidRPr="00B55211">
              <w:rPr>
                <w:rStyle w:val="Hyperlink"/>
              </w:rPr>
              <w:t>monicafogarty@warwickshire.gov.uk</w:t>
            </w:r>
            <w:r>
              <w:fldChar w:fldCharType="end"/>
            </w:r>
            <w:r>
              <w:t xml:space="preserve"> </w:t>
            </w:r>
          </w:p>
          <w:p w:rsidR="00C80735" w:rsidRDefault="00C80735" w:rsidP="0031135E">
            <w:r>
              <w:t>Tel: 01926 412514</w:t>
            </w:r>
          </w:p>
        </w:tc>
      </w:tr>
      <w:tr w:rsidR="00C80735" w:rsidTr="00403968">
        <w:tc>
          <w:tcPr>
            <w:tcW w:w="2516" w:type="dxa"/>
            <w:shd w:val="clear" w:color="auto" w:fill="auto"/>
          </w:tcPr>
          <w:p w:rsidR="00C80735" w:rsidRDefault="00C80735" w:rsidP="004D6ED4">
            <w:r>
              <w:t>Portfolio Holder</w:t>
            </w:r>
          </w:p>
        </w:tc>
        <w:tc>
          <w:tcPr>
            <w:tcW w:w="2691" w:type="dxa"/>
            <w:shd w:val="clear" w:color="auto" w:fill="auto"/>
          </w:tcPr>
          <w:p w:rsidR="00C80735" w:rsidRDefault="00C80735" w:rsidP="0031135E">
            <w:bookmarkStart w:id="7" w:name="PortfolioHolder"/>
            <w:bookmarkEnd w:id="7"/>
            <w:r>
              <w:t>Cllr Peter Butlin</w:t>
            </w:r>
          </w:p>
        </w:tc>
        <w:bookmarkStart w:id="8" w:name="Contact4"/>
        <w:bookmarkEnd w:id="8"/>
        <w:tc>
          <w:tcPr>
            <w:tcW w:w="4115" w:type="dxa"/>
            <w:shd w:val="clear" w:color="auto" w:fill="auto"/>
          </w:tcPr>
          <w:p w:rsidR="00C80735" w:rsidRDefault="00C80735" w:rsidP="0031135E">
            <w:r w:rsidRPr="00F407CC">
              <w:fldChar w:fldCharType="begin"/>
            </w:r>
            <w:r w:rsidRPr="00F407CC">
              <w:instrText xml:space="preserve"> HYPERLINK "Mailto:cllrbutlin@warwickshire.gov.uk" \o "cllrbutlin@warwickshire.gov.uk" </w:instrText>
            </w:r>
            <w:r w:rsidRPr="00F407CC">
              <w:fldChar w:fldCharType="separate"/>
            </w:r>
            <w:r w:rsidRPr="00F407CC">
              <w:rPr>
                <w:rStyle w:val="Hyperlink"/>
              </w:rPr>
              <w:t>cllrbutlin@warwickshire.gov.uk</w:t>
            </w:r>
            <w:r w:rsidRPr="00F407CC">
              <w:fldChar w:fldCharType="end"/>
            </w:r>
          </w:p>
          <w:p w:rsidR="00C80735" w:rsidRDefault="00C80735" w:rsidP="0031135E">
            <w:r>
              <w:t xml:space="preserve">Tel: </w:t>
            </w:r>
            <w:r w:rsidRPr="00F407CC">
              <w:t>01788 816488</w:t>
            </w:r>
          </w:p>
        </w:tc>
      </w:tr>
    </w:tbl>
    <w:p w:rsidR="00ED763D" w:rsidRDefault="00E43F95">
      <w:pPr>
        <w:rPr>
          <w:b/>
        </w:rPr>
      </w:pPr>
      <w:r>
        <w:br w:type="page"/>
      </w:r>
      <w:r w:rsidR="00ED763D">
        <w:rPr>
          <w:b/>
        </w:rPr>
        <w:lastRenderedPageBreak/>
        <w:t>Appendix A</w:t>
      </w:r>
    </w:p>
    <w:p w:rsidR="000532BB" w:rsidRDefault="000532BB" w:rsidP="000532BB">
      <w:pPr>
        <w:rPr>
          <w:b/>
        </w:rPr>
      </w:pPr>
    </w:p>
    <w:tbl>
      <w:tblPr>
        <w:tblStyle w:val="TableGrid"/>
        <w:tblW w:w="0" w:type="auto"/>
        <w:tblInd w:w="709" w:type="dxa"/>
        <w:tblLook w:val="04A0" w:firstRow="1" w:lastRow="0" w:firstColumn="1" w:lastColumn="0" w:noHBand="0" w:noVBand="1"/>
      </w:tblPr>
      <w:tblGrid>
        <w:gridCol w:w="3794"/>
        <w:gridCol w:w="4739"/>
      </w:tblGrid>
      <w:tr w:rsidR="000532BB" w:rsidTr="008C1F09">
        <w:tc>
          <w:tcPr>
            <w:tcW w:w="8533" w:type="dxa"/>
            <w:gridSpan w:val="2"/>
          </w:tcPr>
          <w:p w:rsidR="000532BB" w:rsidRDefault="000532BB" w:rsidP="008C1F09">
            <w:pPr>
              <w:ind w:left="992" w:hanging="992"/>
              <w:rPr>
                <w:rFonts w:ascii="Arial" w:hAnsi="Arial" w:cs="Arial"/>
                <w:b/>
              </w:rPr>
            </w:pPr>
            <w:r w:rsidRPr="00D3765D">
              <w:rPr>
                <w:rFonts w:ascii="Arial" w:hAnsi="Arial" w:cs="Arial"/>
                <w:b/>
              </w:rPr>
              <w:t xml:space="preserve">Table 1: Proposed </w:t>
            </w:r>
            <w:r>
              <w:rPr>
                <w:rFonts w:ascii="Arial" w:hAnsi="Arial" w:cs="Arial"/>
                <w:b/>
              </w:rPr>
              <w:t xml:space="preserve">Additional Components to the Scheme Included </w:t>
            </w:r>
          </w:p>
          <w:p w:rsidR="000532BB" w:rsidRPr="00D3765D" w:rsidRDefault="000532BB" w:rsidP="008C1F09">
            <w:pPr>
              <w:ind w:left="992" w:hanging="992"/>
              <w:rPr>
                <w:rFonts w:ascii="Arial" w:hAnsi="Arial" w:cs="Arial"/>
                <w:b/>
              </w:rPr>
            </w:pPr>
            <w:r>
              <w:rPr>
                <w:rFonts w:ascii="Arial" w:hAnsi="Arial" w:cs="Arial"/>
                <w:b/>
              </w:rPr>
              <w:t xml:space="preserve">               in the Consultation</w:t>
            </w:r>
          </w:p>
        </w:tc>
      </w:tr>
      <w:tr w:rsidR="000532BB" w:rsidTr="008C1F09">
        <w:tc>
          <w:tcPr>
            <w:tcW w:w="3794" w:type="dxa"/>
          </w:tcPr>
          <w:p w:rsidR="000532BB" w:rsidRPr="00677865" w:rsidRDefault="000532BB" w:rsidP="008C1F09">
            <w:pPr>
              <w:jc w:val="center"/>
              <w:rPr>
                <w:rFonts w:ascii="Arial" w:hAnsi="Arial" w:cs="Arial"/>
              </w:rPr>
            </w:pPr>
            <w:r>
              <w:rPr>
                <w:rFonts w:ascii="Arial" w:hAnsi="Arial" w:cs="Arial"/>
              </w:rPr>
              <w:t>Location</w:t>
            </w:r>
          </w:p>
        </w:tc>
        <w:tc>
          <w:tcPr>
            <w:tcW w:w="4739" w:type="dxa"/>
          </w:tcPr>
          <w:p w:rsidR="000532BB" w:rsidRPr="00677865" w:rsidRDefault="000532BB" w:rsidP="008C1F09">
            <w:pPr>
              <w:jc w:val="center"/>
              <w:rPr>
                <w:rFonts w:ascii="Arial" w:hAnsi="Arial" w:cs="Arial"/>
              </w:rPr>
            </w:pPr>
            <w:r>
              <w:rPr>
                <w:rFonts w:ascii="Arial" w:hAnsi="Arial" w:cs="Arial"/>
              </w:rPr>
              <w:t xml:space="preserve">Details of the Additional Component(s) </w:t>
            </w:r>
          </w:p>
        </w:tc>
      </w:tr>
      <w:tr w:rsidR="000532BB" w:rsidTr="008C1F09">
        <w:tc>
          <w:tcPr>
            <w:tcW w:w="3794" w:type="dxa"/>
          </w:tcPr>
          <w:p w:rsidR="000532BB" w:rsidRDefault="000532BB" w:rsidP="008C1F09">
            <w:pPr>
              <w:rPr>
                <w:rFonts w:ascii="Arial" w:eastAsiaTheme="minorHAnsi" w:hAnsi="Arial" w:cs="Arial"/>
                <w:szCs w:val="24"/>
                <w:lang w:eastAsia="en-US"/>
              </w:rPr>
            </w:pPr>
            <w:r w:rsidRPr="00677865">
              <w:rPr>
                <w:rFonts w:ascii="Arial" w:eastAsiaTheme="minorHAnsi" w:hAnsi="Arial" w:cs="Arial"/>
                <w:szCs w:val="24"/>
                <w:lang w:eastAsia="en-US"/>
              </w:rPr>
              <w:t>Bermuda Road and The Bridleway</w:t>
            </w:r>
          </w:p>
          <w:p w:rsidR="000532BB" w:rsidRDefault="000532BB" w:rsidP="008C1F09">
            <w:pPr>
              <w:rPr>
                <w:rFonts w:ascii="Arial" w:eastAsiaTheme="minorHAnsi" w:hAnsi="Arial" w:cs="Arial"/>
                <w:szCs w:val="24"/>
                <w:lang w:eastAsia="en-US"/>
              </w:rPr>
            </w:pPr>
          </w:p>
          <w:p w:rsidR="000532BB" w:rsidRPr="00677865" w:rsidRDefault="000532BB" w:rsidP="008C1F09">
            <w:pPr>
              <w:rPr>
                <w:rFonts w:ascii="Arial" w:hAnsi="Arial" w:cs="Arial"/>
              </w:rPr>
            </w:pPr>
          </w:p>
        </w:tc>
        <w:tc>
          <w:tcPr>
            <w:tcW w:w="4739" w:type="dxa"/>
          </w:tcPr>
          <w:p w:rsidR="000532BB" w:rsidRPr="00677865" w:rsidRDefault="000532BB" w:rsidP="008C1F09">
            <w:pPr>
              <w:numPr>
                <w:ilvl w:val="0"/>
                <w:numId w:val="7"/>
              </w:numPr>
              <w:spacing w:before="60" w:after="60"/>
              <w:ind w:left="426" w:hanging="284"/>
              <w:contextualSpacing/>
              <w:jc w:val="both"/>
              <w:rPr>
                <w:rFonts w:ascii="Arial" w:hAnsi="Arial" w:cs="Arial"/>
                <w:szCs w:val="24"/>
              </w:rPr>
            </w:pPr>
            <w:r w:rsidRPr="00677865">
              <w:rPr>
                <w:rFonts w:ascii="Arial" w:hAnsi="Arial" w:cs="Arial"/>
                <w:szCs w:val="24"/>
              </w:rPr>
              <w:t xml:space="preserve">Realigning a large section of the southern part of the highway on Bermuda Road further away from residential properties in order to reduce </w:t>
            </w:r>
            <w:r>
              <w:rPr>
                <w:rFonts w:ascii="Arial" w:hAnsi="Arial" w:cs="Arial"/>
                <w:szCs w:val="24"/>
              </w:rPr>
              <w:t xml:space="preserve">the </w:t>
            </w:r>
            <w:r w:rsidRPr="00677865">
              <w:rPr>
                <w:rFonts w:ascii="Arial" w:hAnsi="Arial" w:cs="Arial"/>
                <w:szCs w:val="24"/>
              </w:rPr>
              <w:t xml:space="preserve">impact of </w:t>
            </w:r>
            <w:r>
              <w:rPr>
                <w:rFonts w:ascii="Arial" w:hAnsi="Arial" w:cs="Arial"/>
                <w:szCs w:val="24"/>
              </w:rPr>
              <w:t xml:space="preserve">the </w:t>
            </w:r>
            <w:r w:rsidRPr="00677865">
              <w:rPr>
                <w:rFonts w:ascii="Arial" w:hAnsi="Arial" w:cs="Arial"/>
                <w:szCs w:val="24"/>
              </w:rPr>
              <w:t>scheme;</w:t>
            </w:r>
          </w:p>
          <w:p w:rsidR="000532BB" w:rsidRDefault="000532BB" w:rsidP="008C1F09">
            <w:pPr>
              <w:numPr>
                <w:ilvl w:val="0"/>
                <w:numId w:val="7"/>
              </w:numPr>
              <w:spacing w:before="60" w:after="60"/>
              <w:ind w:left="426" w:hanging="284"/>
              <w:contextualSpacing/>
              <w:jc w:val="both"/>
              <w:rPr>
                <w:rFonts w:ascii="Arial" w:hAnsi="Arial" w:cs="Arial"/>
                <w:szCs w:val="24"/>
              </w:rPr>
            </w:pPr>
            <w:r w:rsidRPr="00677865">
              <w:rPr>
                <w:rFonts w:ascii="Arial" w:hAnsi="Arial" w:cs="Arial"/>
                <w:szCs w:val="24"/>
              </w:rPr>
              <w:t>Extent of new highway has increased from approximately 30m to 250m; and</w:t>
            </w:r>
          </w:p>
          <w:p w:rsidR="000532BB" w:rsidRPr="00677865" w:rsidRDefault="000532BB" w:rsidP="008C1F09">
            <w:pPr>
              <w:numPr>
                <w:ilvl w:val="0"/>
                <w:numId w:val="7"/>
              </w:numPr>
              <w:spacing w:before="60" w:after="60"/>
              <w:ind w:left="426" w:hanging="284"/>
              <w:contextualSpacing/>
              <w:jc w:val="both"/>
              <w:rPr>
                <w:rFonts w:ascii="Arial" w:hAnsi="Arial" w:cs="Arial"/>
                <w:szCs w:val="24"/>
              </w:rPr>
            </w:pPr>
            <w:r>
              <w:rPr>
                <w:rFonts w:ascii="Arial" w:hAnsi="Arial" w:cs="Arial"/>
                <w:szCs w:val="24"/>
              </w:rPr>
              <w:t>An e</w:t>
            </w:r>
            <w:r w:rsidRPr="00677865">
              <w:rPr>
                <w:rFonts w:ascii="Arial" w:hAnsi="Arial" w:cs="Arial"/>
                <w:szCs w:val="24"/>
              </w:rPr>
              <w:t xml:space="preserve">xisting attenuation pond </w:t>
            </w:r>
            <w:r>
              <w:rPr>
                <w:rFonts w:ascii="Arial" w:hAnsi="Arial" w:cs="Arial"/>
                <w:szCs w:val="24"/>
              </w:rPr>
              <w:t xml:space="preserve">off Bermuda Road </w:t>
            </w:r>
            <w:r w:rsidRPr="00677865">
              <w:rPr>
                <w:rFonts w:ascii="Arial" w:hAnsi="Arial" w:cs="Arial"/>
                <w:szCs w:val="24"/>
              </w:rPr>
              <w:t>to be relocated.</w:t>
            </w:r>
          </w:p>
        </w:tc>
      </w:tr>
      <w:tr w:rsidR="000532BB" w:rsidRPr="0050261F" w:rsidTr="008C1F09">
        <w:tc>
          <w:tcPr>
            <w:tcW w:w="3794" w:type="dxa"/>
          </w:tcPr>
          <w:p w:rsidR="000532BB" w:rsidRPr="0050261F" w:rsidRDefault="000532BB" w:rsidP="008C1F09">
            <w:pPr>
              <w:rPr>
                <w:rFonts w:ascii="Arial" w:eastAsiaTheme="minorHAnsi" w:hAnsi="Arial" w:cs="Arial"/>
                <w:szCs w:val="24"/>
                <w:lang w:eastAsia="en-US"/>
              </w:rPr>
            </w:pPr>
            <w:r w:rsidRPr="0050261F">
              <w:rPr>
                <w:rFonts w:ascii="Arial" w:eastAsiaTheme="minorHAnsi" w:hAnsi="Arial" w:cs="Arial"/>
                <w:szCs w:val="24"/>
                <w:lang w:eastAsia="en-US"/>
              </w:rPr>
              <w:t>St Georges Way</w:t>
            </w:r>
          </w:p>
        </w:tc>
        <w:tc>
          <w:tcPr>
            <w:tcW w:w="4739" w:type="dxa"/>
          </w:tcPr>
          <w:p w:rsidR="000532BB" w:rsidRPr="0050261F" w:rsidRDefault="000532BB" w:rsidP="008C1F09">
            <w:pPr>
              <w:spacing w:before="60" w:after="60"/>
              <w:ind w:left="142"/>
              <w:contextualSpacing/>
              <w:jc w:val="both"/>
              <w:rPr>
                <w:rFonts w:ascii="Arial" w:hAnsi="Arial" w:cs="Arial"/>
                <w:szCs w:val="24"/>
              </w:rPr>
            </w:pPr>
            <w:r>
              <w:rPr>
                <w:rFonts w:ascii="Arial" w:hAnsi="Arial" w:cs="Arial"/>
                <w:szCs w:val="24"/>
              </w:rPr>
              <w:t>Provision of a new Toucan crossing on St Georges Way to enhance pedestrian connectivity between the proposed off-street car park and Bermuda Park rail station</w:t>
            </w:r>
            <w:r w:rsidR="00D93B90">
              <w:rPr>
                <w:rFonts w:ascii="Arial" w:hAnsi="Arial" w:cs="Arial"/>
                <w:szCs w:val="24"/>
              </w:rPr>
              <w:t>.</w:t>
            </w:r>
          </w:p>
        </w:tc>
      </w:tr>
      <w:tr w:rsidR="000532BB" w:rsidRPr="0050261F" w:rsidTr="008C1F09">
        <w:tc>
          <w:tcPr>
            <w:tcW w:w="3794" w:type="dxa"/>
          </w:tcPr>
          <w:p w:rsidR="000532BB" w:rsidRDefault="000532BB" w:rsidP="008C1F09">
            <w:pPr>
              <w:rPr>
                <w:rFonts w:ascii="Arial" w:eastAsiaTheme="minorHAnsi" w:hAnsi="Arial" w:cs="Arial"/>
                <w:szCs w:val="24"/>
                <w:lang w:eastAsia="en-US"/>
              </w:rPr>
            </w:pPr>
            <w:r>
              <w:rPr>
                <w:rFonts w:ascii="Arial" w:eastAsiaTheme="minorHAnsi" w:hAnsi="Arial" w:cs="Arial"/>
                <w:szCs w:val="24"/>
                <w:lang w:eastAsia="en-US"/>
              </w:rPr>
              <w:t>Shared Pedestr</w:t>
            </w:r>
            <w:r w:rsidRPr="0050261F">
              <w:rPr>
                <w:rFonts w:ascii="Arial" w:eastAsiaTheme="minorHAnsi" w:hAnsi="Arial" w:cs="Arial"/>
                <w:szCs w:val="24"/>
                <w:lang w:eastAsia="en-US"/>
              </w:rPr>
              <w:t>i</w:t>
            </w:r>
            <w:r>
              <w:rPr>
                <w:rFonts w:ascii="Arial" w:eastAsiaTheme="minorHAnsi" w:hAnsi="Arial" w:cs="Arial"/>
                <w:szCs w:val="24"/>
                <w:lang w:eastAsia="en-US"/>
              </w:rPr>
              <w:t>a</w:t>
            </w:r>
            <w:r w:rsidRPr="0050261F">
              <w:rPr>
                <w:rFonts w:ascii="Arial" w:eastAsiaTheme="minorHAnsi" w:hAnsi="Arial" w:cs="Arial"/>
                <w:szCs w:val="24"/>
                <w:lang w:eastAsia="en-US"/>
              </w:rPr>
              <w:t xml:space="preserve">n and </w:t>
            </w:r>
          </w:p>
          <w:p w:rsidR="000532BB" w:rsidRPr="0050261F" w:rsidRDefault="000532BB" w:rsidP="008C1F09">
            <w:pPr>
              <w:rPr>
                <w:rFonts w:ascii="Arial" w:eastAsiaTheme="minorHAnsi" w:hAnsi="Arial" w:cs="Arial"/>
                <w:szCs w:val="24"/>
                <w:lang w:eastAsia="en-US"/>
              </w:rPr>
            </w:pPr>
            <w:r w:rsidRPr="0050261F">
              <w:rPr>
                <w:rFonts w:ascii="Arial" w:eastAsiaTheme="minorHAnsi" w:hAnsi="Arial" w:cs="Arial"/>
                <w:szCs w:val="24"/>
                <w:lang w:eastAsia="en-US"/>
              </w:rPr>
              <w:t>Cycle Crossings</w:t>
            </w:r>
          </w:p>
        </w:tc>
        <w:tc>
          <w:tcPr>
            <w:tcW w:w="4739" w:type="dxa"/>
          </w:tcPr>
          <w:p w:rsidR="000532BB" w:rsidRPr="0050261F" w:rsidRDefault="000532BB" w:rsidP="008C1F09">
            <w:pPr>
              <w:spacing w:before="60" w:after="60"/>
              <w:ind w:left="142"/>
              <w:contextualSpacing/>
              <w:jc w:val="both"/>
              <w:rPr>
                <w:rFonts w:ascii="Arial" w:hAnsi="Arial" w:cs="Arial"/>
                <w:szCs w:val="24"/>
              </w:rPr>
            </w:pPr>
            <w:r>
              <w:rPr>
                <w:rFonts w:ascii="Arial" w:hAnsi="Arial" w:cs="Arial"/>
                <w:szCs w:val="24"/>
              </w:rPr>
              <w:t xml:space="preserve">Additional crossings provided on Bermuda Road, The Bridleway and St Georges Way to </w:t>
            </w:r>
            <w:r w:rsidRPr="0050261F">
              <w:rPr>
                <w:rFonts w:ascii="Arial" w:eastAsiaTheme="minorHAnsi" w:hAnsi="Arial" w:cs="Arial"/>
                <w:color w:val="222222"/>
                <w:szCs w:val="24"/>
                <w:shd w:val="clear" w:color="auto" w:fill="FFFFFF"/>
                <w:lang w:eastAsia="en-US"/>
              </w:rPr>
              <w:t>enhance safety and connectivity</w:t>
            </w:r>
            <w:r w:rsidR="00D93B90">
              <w:rPr>
                <w:rFonts w:ascii="Arial" w:eastAsiaTheme="minorHAnsi" w:hAnsi="Arial" w:cs="Arial"/>
                <w:color w:val="222222"/>
                <w:szCs w:val="24"/>
                <w:shd w:val="clear" w:color="auto" w:fill="FFFFFF"/>
                <w:lang w:eastAsia="en-US"/>
              </w:rPr>
              <w:t>.</w:t>
            </w:r>
          </w:p>
        </w:tc>
      </w:tr>
      <w:tr w:rsidR="000532BB" w:rsidRPr="00127499" w:rsidTr="008C1F09">
        <w:tc>
          <w:tcPr>
            <w:tcW w:w="3794" w:type="dxa"/>
          </w:tcPr>
          <w:p w:rsidR="000532BB" w:rsidRPr="00346E70" w:rsidRDefault="000532BB" w:rsidP="008C1F09">
            <w:pPr>
              <w:rPr>
                <w:rFonts w:ascii="Arial" w:eastAsiaTheme="minorHAnsi" w:hAnsi="Arial" w:cs="Arial"/>
                <w:color w:val="222222"/>
                <w:szCs w:val="24"/>
                <w:shd w:val="clear" w:color="auto" w:fill="FFFFFF"/>
                <w:lang w:eastAsia="en-US"/>
              </w:rPr>
            </w:pPr>
            <w:r>
              <w:rPr>
                <w:rFonts w:ascii="Arial" w:eastAsiaTheme="minorHAnsi" w:hAnsi="Arial" w:cs="Arial"/>
                <w:color w:val="222222"/>
                <w:szCs w:val="24"/>
                <w:shd w:val="clear" w:color="auto" w:fill="FFFFFF"/>
                <w:lang w:eastAsia="en-US"/>
              </w:rPr>
              <w:t xml:space="preserve">Bermuda Road </w:t>
            </w:r>
          </w:p>
        </w:tc>
        <w:tc>
          <w:tcPr>
            <w:tcW w:w="4739" w:type="dxa"/>
          </w:tcPr>
          <w:p w:rsidR="000532BB" w:rsidRDefault="000532BB" w:rsidP="008C1F09">
            <w:pPr>
              <w:pStyle w:val="ListParagraph"/>
              <w:numPr>
                <w:ilvl w:val="0"/>
                <w:numId w:val="9"/>
              </w:numPr>
              <w:spacing w:before="60" w:after="60"/>
              <w:ind w:left="459" w:hanging="284"/>
              <w:jc w:val="both"/>
              <w:rPr>
                <w:rFonts w:ascii="Arial" w:eastAsiaTheme="minorHAnsi" w:hAnsi="Arial" w:cs="Arial"/>
                <w:color w:val="222222"/>
                <w:szCs w:val="24"/>
                <w:shd w:val="clear" w:color="auto" w:fill="FFFFFF"/>
                <w:lang w:eastAsia="en-US"/>
              </w:rPr>
            </w:pPr>
            <w:r w:rsidRPr="00346E70">
              <w:rPr>
                <w:rFonts w:ascii="Arial" w:eastAsiaTheme="minorHAnsi" w:hAnsi="Arial" w:cs="Arial"/>
                <w:color w:val="222222"/>
                <w:szCs w:val="24"/>
                <w:shd w:val="clear" w:color="auto" w:fill="FFFFFF"/>
                <w:lang w:eastAsia="en-US"/>
              </w:rPr>
              <w:t>Provision</w:t>
            </w:r>
            <w:r>
              <w:rPr>
                <w:rFonts w:ascii="Arial" w:eastAsiaTheme="minorHAnsi" w:hAnsi="Arial" w:cs="Arial"/>
                <w:color w:val="222222"/>
                <w:szCs w:val="24"/>
                <w:shd w:val="clear" w:color="auto" w:fill="FFFFFF"/>
                <w:lang w:eastAsia="en-US"/>
              </w:rPr>
              <w:t xml:space="preserve"> of a mini-r</w:t>
            </w:r>
            <w:r w:rsidRPr="00127499">
              <w:rPr>
                <w:rFonts w:ascii="Arial" w:eastAsiaTheme="minorHAnsi" w:hAnsi="Arial" w:cs="Arial"/>
                <w:color w:val="222222"/>
                <w:szCs w:val="24"/>
                <w:shd w:val="clear" w:color="auto" w:fill="FFFFFF"/>
                <w:lang w:eastAsia="en-US"/>
              </w:rPr>
              <w:t>oundabout</w:t>
            </w:r>
            <w:r>
              <w:rPr>
                <w:rFonts w:ascii="Arial" w:eastAsiaTheme="minorHAnsi" w:hAnsi="Arial" w:cs="Arial"/>
                <w:color w:val="222222"/>
                <w:szCs w:val="24"/>
                <w:shd w:val="clear" w:color="auto" w:fill="FFFFFF"/>
                <w:lang w:eastAsia="en-US"/>
              </w:rPr>
              <w:t xml:space="preserve"> at the junction with </w:t>
            </w:r>
            <w:proofErr w:type="spellStart"/>
            <w:r>
              <w:rPr>
                <w:rFonts w:ascii="Arial" w:eastAsiaTheme="minorHAnsi" w:hAnsi="Arial" w:cs="Arial"/>
                <w:color w:val="222222"/>
                <w:szCs w:val="24"/>
                <w:shd w:val="clear" w:color="auto" w:fill="FFFFFF"/>
                <w:lang w:eastAsia="en-US"/>
              </w:rPr>
              <w:t>Tenlons</w:t>
            </w:r>
            <w:proofErr w:type="spellEnd"/>
            <w:r>
              <w:rPr>
                <w:rFonts w:ascii="Arial" w:eastAsiaTheme="minorHAnsi" w:hAnsi="Arial" w:cs="Arial"/>
                <w:color w:val="222222"/>
                <w:szCs w:val="24"/>
                <w:shd w:val="clear" w:color="auto" w:fill="FFFFFF"/>
                <w:lang w:eastAsia="en-US"/>
              </w:rPr>
              <w:t xml:space="preserve"> Road; and</w:t>
            </w:r>
          </w:p>
          <w:p w:rsidR="000532BB" w:rsidRPr="00346E70" w:rsidRDefault="000532BB" w:rsidP="008C1F09">
            <w:pPr>
              <w:pStyle w:val="ListParagraph"/>
              <w:numPr>
                <w:ilvl w:val="0"/>
                <w:numId w:val="9"/>
              </w:numPr>
              <w:spacing w:before="60" w:after="60"/>
              <w:ind w:left="459" w:hanging="284"/>
              <w:jc w:val="both"/>
              <w:rPr>
                <w:rFonts w:ascii="Arial" w:eastAsiaTheme="minorHAnsi" w:hAnsi="Arial" w:cs="Arial"/>
                <w:color w:val="222222"/>
                <w:szCs w:val="24"/>
                <w:shd w:val="clear" w:color="auto" w:fill="FFFFFF"/>
                <w:lang w:eastAsia="en-US"/>
              </w:rPr>
            </w:pPr>
            <w:r w:rsidRPr="00127499">
              <w:rPr>
                <w:rFonts w:ascii="Arial" w:eastAsiaTheme="minorHAnsi" w:hAnsi="Arial" w:cs="Arial"/>
                <w:color w:val="222222"/>
                <w:szCs w:val="24"/>
                <w:shd w:val="clear" w:color="auto" w:fill="FFFFFF"/>
                <w:lang w:eastAsia="en-US"/>
              </w:rPr>
              <w:t xml:space="preserve">Provision of </w:t>
            </w:r>
            <w:r>
              <w:rPr>
                <w:rFonts w:ascii="Arial" w:eastAsiaTheme="minorHAnsi" w:hAnsi="Arial" w:cs="Arial"/>
                <w:color w:val="222222"/>
                <w:szCs w:val="24"/>
                <w:shd w:val="clear" w:color="auto" w:fill="FFFFFF"/>
                <w:lang w:eastAsia="en-US"/>
              </w:rPr>
              <w:t xml:space="preserve">a series of off-road parking bays and a single elongated off-road parking bay for local residents / visitors. </w:t>
            </w:r>
          </w:p>
        </w:tc>
      </w:tr>
      <w:tr w:rsidR="000532BB" w:rsidRPr="00127499" w:rsidTr="008C1F09">
        <w:tc>
          <w:tcPr>
            <w:tcW w:w="3794" w:type="dxa"/>
          </w:tcPr>
          <w:p w:rsidR="000532BB" w:rsidRPr="00346E70" w:rsidRDefault="000532BB" w:rsidP="008C1F09">
            <w:pPr>
              <w:rPr>
                <w:rFonts w:ascii="Arial" w:eastAsiaTheme="minorHAnsi" w:hAnsi="Arial" w:cs="Arial"/>
                <w:color w:val="222222"/>
                <w:szCs w:val="24"/>
                <w:shd w:val="clear" w:color="auto" w:fill="FFFFFF"/>
                <w:lang w:eastAsia="en-US"/>
              </w:rPr>
            </w:pPr>
            <w:proofErr w:type="spellStart"/>
            <w:r w:rsidRPr="00127499">
              <w:rPr>
                <w:rFonts w:ascii="Arial" w:eastAsiaTheme="minorHAnsi" w:hAnsi="Arial" w:cs="Arial"/>
                <w:color w:val="222222"/>
                <w:szCs w:val="24"/>
                <w:shd w:val="clear" w:color="auto" w:fill="FFFFFF"/>
                <w:lang w:eastAsia="en-US"/>
              </w:rPr>
              <w:t>Tenlons</w:t>
            </w:r>
            <w:proofErr w:type="spellEnd"/>
            <w:r w:rsidRPr="00127499">
              <w:rPr>
                <w:rFonts w:ascii="Arial" w:eastAsiaTheme="minorHAnsi" w:hAnsi="Arial" w:cs="Arial"/>
                <w:color w:val="222222"/>
                <w:szCs w:val="24"/>
                <w:shd w:val="clear" w:color="auto" w:fill="FFFFFF"/>
                <w:lang w:eastAsia="en-US"/>
              </w:rPr>
              <w:t xml:space="preserve"> Road</w:t>
            </w:r>
            <w:r>
              <w:rPr>
                <w:rFonts w:ascii="Arial" w:eastAsiaTheme="minorHAnsi" w:hAnsi="Arial" w:cs="Arial"/>
                <w:color w:val="222222"/>
                <w:szCs w:val="24"/>
                <w:shd w:val="clear" w:color="auto" w:fill="FFFFFF"/>
                <w:lang w:eastAsia="en-US"/>
              </w:rPr>
              <w:t xml:space="preserve"> </w:t>
            </w:r>
          </w:p>
        </w:tc>
        <w:tc>
          <w:tcPr>
            <w:tcW w:w="4739" w:type="dxa"/>
          </w:tcPr>
          <w:p w:rsidR="000532BB" w:rsidRPr="00346E70" w:rsidRDefault="000532BB" w:rsidP="008C1F09">
            <w:pPr>
              <w:spacing w:before="60" w:after="60"/>
              <w:jc w:val="both"/>
              <w:rPr>
                <w:rFonts w:ascii="Arial" w:eastAsiaTheme="minorHAnsi" w:hAnsi="Arial" w:cs="Arial"/>
                <w:color w:val="222222"/>
                <w:szCs w:val="24"/>
                <w:shd w:val="clear" w:color="auto" w:fill="FFFFFF"/>
                <w:lang w:eastAsia="en-US"/>
              </w:rPr>
            </w:pPr>
            <w:r w:rsidRPr="00346E70">
              <w:rPr>
                <w:rFonts w:ascii="Arial" w:eastAsiaTheme="minorHAnsi" w:hAnsi="Arial" w:cs="Arial"/>
                <w:color w:val="222222"/>
                <w:szCs w:val="24"/>
                <w:shd w:val="clear" w:color="auto" w:fill="FFFFFF"/>
                <w:lang w:eastAsia="en-US"/>
              </w:rPr>
              <w:t>Provision of 5 car parking bays for commercial property to placate local businesses</w:t>
            </w:r>
            <w:r w:rsidR="00D93B90">
              <w:rPr>
                <w:rFonts w:ascii="Arial" w:eastAsiaTheme="minorHAnsi" w:hAnsi="Arial" w:cs="Arial"/>
                <w:color w:val="222222"/>
                <w:szCs w:val="24"/>
                <w:shd w:val="clear" w:color="auto" w:fill="FFFFFF"/>
                <w:lang w:eastAsia="en-US"/>
              </w:rPr>
              <w:t>.</w:t>
            </w:r>
          </w:p>
        </w:tc>
      </w:tr>
      <w:tr w:rsidR="000532BB" w:rsidRPr="00127499" w:rsidTr="008C1F09">
        <w:tc>
          <w:tcPr>
            <w:tcW w:w="3794" w:type="dxa"/>
          </w:tcPr>
          <w:p w:rsidR="000532BB" w:rsidRPr="00346E70" w:rsidRDefault="000532BB" w:rsidP="008C1F09">
            <w:pPr>
              <w:rPr>
                <w:rFonts w:ascii="Arial" w:eastAsiaTheme="minorHAnsi" w:hAnsi="Arial" w:cs="Arial"/>
                <w:color w:val="222222"/>
                <w:szCs w:val="24"/>
                <w:shd w:val="clear" w:color="auto" w:fill="FFFFFF"/>
                <w:lang w:eastAsia="en-US"/>
              </w:rPr>
            </w:pPr>
            <w:r w:rsidRPr="00127499">
              <w:rPr>
                <w:rFonts w:ascii="Arial" w:eastAsiaTheme="minorHAnsi" w:hAnsi="Arial" w:cs="Arial"/>
                <w:color w:val="222222"/>
                <w:szCs w:val="24"/>
                <w:shd w:val="clear" w:color="auto" w:fill="FFFFFF"/>
                <w:lang w:eastAsia="en-US"/>
              </w:rPr>
              <w:t>Street Lighting</w:t>
            </w:r>
          </w:p>
        </w:tc>
        <w:tc>
          <w:tcPr>
            <w:tcW w:w="4739" w:type="dxa"/>
          </w:tcPr>
          <w:p w:rsidR="000532BB" w:rsidRPr="00346E70" w:rsidRDefault="000532BB" w:rsidP="008C1F09">
            <w:pPr>
              <w:spacing w:before="60" w:after="60"/>
              <w:jc w:val="both"/>
              <w:rPr>
                <w:rFonts w:ascii="Arial" w:eastAsiaTheme="minorHAnsi" w:hAnsi="Arial" w:cs="Arial"/>
                <w:color w:val="222222"/>
                <w:szCs w:val="24"/>
                <w:shd w:val="clear" w:color="auto" w:fill="FFFFFF"/>
                <w:lang w:eastAsia="en-US"/>
              </w:rPr>
            </w:pPr>
            <w:r w:rsidRPr="00127499">
              <w:rPr>
                <w:rFonts w:ascii="Arial" w:eastAsiaTheme="minorHAnsi" w:hAnsi="Arial" w:cs="Arial"/>
                <w:color w:val="222222"/>
                <w:szCs w:val="24"/>
                <w:shd w:val="clear" w:color="auto" w:fill="FFFFFF"/>
                <w:lang w:eastAsia="en-US"/>
              </w:rPr>
              <w:t>Complete renewal of stre</w:t>
            </w:r>
            <w:r>
              <w:rPr>
                <w:rFonts w:ascii="Arial" w:eastAsiaTheme="minorHAnsi" w:hAnsi="Arial" w:cs="Arial"/>
                <w:color w:val="222222"/>
                <w:szCs w:val="24"/>
                <w:shd w:val="clear" w:color="auto" w:fill="FFFFFF"/>
                <w:lang w:eastAsia="en-US"/>
              </w:rPr>
              <w:t xml:space="preserve">et lighting across the site (82 </w:t>
            </w:r>
            <w:r w:rsidRPr="00127499">
              <w:rPr>
                <w:rFonts w:ascii="Arial" w:eastAsiaTheme="minorHAnsi" w:hAnsi="Arial" w:cs="Arial"/>
                <w:color w:val="222222"/>
                <w:szCs w:val="24"/>
                <w:shd w:val="clear" w:color="auto" w:fill="FFFFFF"/>
                <w:lang w:eastAsia="en-US"/>
              </w:rPr>
              <w:t>no</w:t>
            </w:r>
            <w:r>
              <w:rPr>
                <w:rFonts w:ascii="Arial" w:eastAsiaTheme="minorHAnsi" w:hAnsi="Arial" w:cs="Arial"/>
                <w:color w:val="222222"/>
                <w:szCs w:val="24"/>
                <w:shd w:val="clear" w:color="auto" w:fill="FFFFFF"/>
                <w:lang w:eastAsia="en-US"/>
              </w:rPr>
              <w:t>.</w:t>
            </w:r>
            <w:r w:rsidRPr="00127499">
              <w:rPr>
                <w:rFonts w:ascii="Arial" w:eastAsiaTheme="minorHAnsi" w:hAnsi="Arial" w:cs="Arial"/>
                <w:color w:val="222222"/>
                <w:szCs w:val="24"/>
                <w:shd w:val="clear" w:color="auto" w:fill="FFFFFF"/>
                <w:lang w:eastAsia="en-US"/>
              </w:rPr>
              <w:t xml:space="preserve"> lighting columns</w:t>
            </w:r>
            <w:r>
              <w:rPr>
                <w:rFonts w:ascii="Arial" w:eastAsiaTheme="minorHAnsi" w:hAnsi="Arial" w:cs="Arial"/>
                <w:color w:val="222222"/>
                <w:szCs w:val="24"/>
                <w:shd w:val="clear" w:color="auto" w:fill="FFFFFF"/>
                <w:lang w:eastAsia="en-US"/>
              </w:rPr>
              <w:t>)</w:t>
            </w:r>
            <w:r w:rsidR="00D93B90">
              <w:rPr>
                <w:rFonts w:ascii="Arial" w:eastAsiaTheme="minorHAnsi" w:hAnsi="Arial" w:cs="Arial"/>
                <w:color w:val="222222"/>
                <w:szCs w:val="24"/>
                <w:shd w:val="clear" w:color="auto" w:fill="FFFFFF"/>
                <w:lang w:eastAsia="en-US"/>
              </w:rPr>
              <w:t>.</w:t>
            </w:r>
          </w:p>
        </w:tc>
      </w:tr>
    </w:tbl>
    <w:p w:rsidR="000532BB" w:rsidRDefault="000532BB" w:rsidP="000532BB">
      <w:pPr>
        <w:rPr>
          <w:b/>
        </w:rPr>
      </w:pPr>
    </w:p>
    <w:p w:rsidR="000532BB" w:rsidRDefault="000532BB" w:rsidP="000532BB">
      <w:pPr>
        <w:rPr>
          <w:b/>
        </w:rPr>
      </w:pPr>
      <w:r>
        <w:rPr>
          <w:b/>
        </w:rPr>
        <w:br w:type="page"/>
      </w:r>
    </w:p>
    <w:p w:rsidR="000532BB" w:rsidRPr="00E43F95" w:rsidRDefault="000532BB" w:rsidP="000532BB">
      <w:pPr>
        <w:rPr>
          <w:b/>
        </w:rPr>
      </w:pPr>
      <w:r>
        <w:rPr>
          <w:b/>
        </w:rPr>
        <w:lastRenderedPageBreak/>
        <w:t>Appendix B</w:t>
      </w:r>
      <w:r w:rsidRPr="00E43F95">
        <w:rPr>
          <w:b/>
        </w:rPr>
        <w:t xml:space="preserve"> </w:t>
      </w:r>
    </w:p>
    <w:p w:rsidR="000532BB" w:rsidRDefault="000532BB">
      <w:pPr>
        <w:rPr>
          <w:b/>
        </w:rPr>
      </w:pPr>
    </w:p>
    <w:p w:rsidR="00ED763D" w:rsidRDefault="00ED763D" w:rsidP="00ED763D">
      <w:pPr>
        <w:jc w:val="center"/>
        <w:rPr>
          <w:b/>
        </w:rPr>
      </w:pPr>
      <w:r>
        <w:rPr>
          <w:b/>
        </w:rPr>
        <w:t>Details of Consultation Measures</w:t>
      </w:r>
    </w:p>
    <w:p w:rsidR="00ED763D" w:rsidRDefault="00ED763D" w:rsidP="00ED763D">
      <w:pPr>
        <w:jc w:val="center"/>
        <w:rPr>
          <w:b/>
        </w:rPr>
      </w:pPr>
    </w:p>
    <w:p w:rsidR="00ED763D" w:rsidRDefault="00ED763D" w:rsidP="00ED763D">
      <w:pPr>
        <w:ind w:left="709"/>
        <w:rPr>
          <w:u w:val="single"/>
        </w:rPr>
      </w:pPr>
      <w:r w:rsidRPr="00194B8A">
        <w:rPr>
          <w:u w:val="single"/>
        </w:rPr>
        <w:t>Online</w:t>
      </w:r>
    </w:p>
    <w:p w:rsidR="00ED763D" w:rsidRDefault="00ED763D" w:rsidP="00ED763D">
      <w:pPr>
        <w:ind w:left="709" w:hanging="709"/>
      </w:pPr>
      <w:r w:rsidRPr="00194B8A">
        <w:tab/>
      </w:r>
      <w:r>
        <w:t>Consultation information presented on scheme web page including a link to the Ask Warwickshire portal allowing participants to complete and submit a response form.</w:t>
      </w:r>
    </w:p>
    <w:p w:rsidR="00ED763D" w:rsidRDefault="00ED763D" w:rsidP="00ED763D">
      <w:pPr>
        <w:ind w:left="709" w:hanging="709"/>
      </w:pPr>
    </w:p>
    <w:p w:rsidR="00ED763D" w:rsidRPr="00194B8A" w:rsidRDefault="00ED763D" w:rsidP="00ED763D">
      <w:pPr>
        <w:ind w:left="709"/>
        <w:rPr>
          <w:u w:val="single"/>
        </w:rPr>
      </w:pPr>
      <w:r w:rsidRPr="00194B8A">
        <w:rPr>
          <w:u w:val="single"/>
        </w:rPr>
        <w:t>Post</w:t>
      </w:r>
    </w:p>
    <w:p w:rsidR="00ED763D" w:rsidRDefault="00ED763D" w:rsidP="00ED763D">
      <w:pPr>
        <w:ind w:left="709" w:hanging="709"/>
      </w:pPr>
      <w:r>
        <w:tab/>
        <w:t>Consultation Information Pamphlets distributed to a large number of households in West Nuneaton, the document included a response form which participants could post back via freepost.</w:t>
      </w:r>
    </w:p>
    <w:p w:rsidR="00ED763D" w:rsidRDefault="00ED763D" w:rsidP="00ED763D">
      <w:pPr>
        <w:ind w:left="709" w:hanging="709"/>
      </w:pPr>
    </w:p>
    <w:p w:rsidR="00ED763D" w:rsidRPr="00194B8A" w:rsidRDefault="00ED763D" w:rsidP="00ED763D">
      <w:pPr>
        <w:ind w:left="709"/>
        <w:rPr>
          <w:u w:val="single"/>
        </w:rPr>
      </w:pPr>
      <w:r w:rsidRPr="00194B8A">
        <w:rPr>
          <w:u w:val="single"/>
        </w:rPr>
        <w:t>Local Consultation Events</w:t>
      </w:r>
    </w:p>
    <w:p w:rsidR="00ED763D" w:rsidRDefault="00ED763D" w:rsidP="00ED763D">
      <w:pPr>
        <w:ind w:left="709"/>
      </w:pPr>
      <w:r>
        <w:t>A programme of Local Consultation Events (exhibitions) was undertaken, which allowed local residents, businesses and stakeholders to engage with project officers and also consultants working on the scheme.</w:t>
      </w:r>
      <w:r w:rsidRPr="0038751B">
        <w:t xml:space="preserve"> </w:t>
      </w:r>
      <w:r>
        <w:t xml:space="preserve"> The number of visits to the Local Consultation Events is detailed in Table 2 at Appendix C of this report.</w:t>
      </w:r>
    </w:p>
    <w:p w:rsidR="00ED763D" w:rsidRDefault="00ED763D" w:rsidP="00ED763D">
      <w:pPr>
        <w:ind w:left="709"/>
      </w:pPr>
    </w:p>
    <w:p w:rsidR="00ED763D" w:rsidRPr="00194B8A" w:rsidRDefault="00ED763D" w:rsidP="00ED763D">
      <w:pPr>
        <w:ind w:firstLine="709"/>
        <w:rPr>
          <w:u w:val="single"/>
        </w:rPr>
      </w:pPr>
      <w:r w:rsidRPr="00194B8A">
        <w:rPr>
          <w:u w:val="single"/>
        </w:rPr>
        <w:t xml:space="preserve">Nuneaton Library </w:t>
      </w:r>
    </w:p>
    <w:p w:rsidR="00ED763D" w:rsidRDefault="00ED763D" w:rsidP="00ED763D">
      <w:pPr>
        <w:ind w:left="709"/>
      </w:pPr>
      <w:r>
        <w:t>After the completion of the Local Consultation Events, exhibition material and response forms were placed on display at Nuneaton Library until the end of the consultation period.</w:t>
      </w:r>
    </w:p>
    <w:p w:rsidR="00ED763D" w:rsidRDefault="00ED763D" w:rsidP="00ED763D">
      <w:pPr>
        <w:jc w:val="center"/>
        <w:rPr>
          <w:b/>
        </w:rPr>
      </w:pPr>
      <w:r>
        <w:rPr>
          <w:b/>
        </w:rPr>
        <w:br w:type="page"/>
      </w:r>
    </w:p>
    <w:p w:rsidR="00E43F95" w:rsidRDefault="00ED763D">
      <w:pPr>
        <w:rPr>
          <w:b/>
        </w:rPr>
      </w:pPr>
      <w:r>
        <w:rPr>
          <w:b/>
        </w:rPr>
        <w:lastRenderedPageBreak/>
        <w:t>Appendix C</w:t>
      </w:r>
    </w:p>
    <w:p w:rsidR="0038751B" w:rsidRDefault="0038751B">
      <w:pPr>
        <w:rPr>
          <w:b/>
        </w:rPr>
      </w:pPr>
    </w:p>
    <w:tbl>
      <w:tblPr>
        <w:tblStyle w:val="TableGrid"/>
        <w:tblW w:w="0" w:type="auto"/>
        <w:tblInd w:w="709" w:type="dxa"/>
        <w:tblLook w:val="04A0" w:firstRow="1" w:lastRow="0" w:firstColumn="1" w:lastColumn="0" w:noHBand="0" w:noVBand="1"/>
      </w:tblPr>
      <w:tblGrid>
        <w:gridCol w:w="2843"/>
        <w:gridCol w:w="2845"/>
        <w:gridCol w:w="2845"/>
      </w:tblGrid>
      <w:tr w:rsidR="0038751B" w:rsidRPr="00064A33" w:rsidTr="00747619">
        <w:tc>
          <w:tcPr>
            <w:tcW w:w="8533" w:type="dxa"/>
            <w:gridSpan w:val="3"/>
          </w:tcPr>
          <w:p w:rsidR="0038751B" w:rsidRPr="00D3765D" w:rsidRDefault="0038751B" w:rsidP="00747619">
            <w:pPr>
              <w:jc w:val="center"/>
              <w:rPr>
                <w:rFonts w:ascii="Arial" w:hAnsi="Arial" w:cs="Arial"/>
                <w:b/>
              </w:rPr>
            </w:pPr>
            <w:r>
              <w:rPr>
                <w:rFonts w:ascii="Arial" w:hAnsi="Arial" w:cs="Arial"/>
                <w:b/>
              </w:rPr>
              <w:t>Table 2: Number of Visit</w:t>
            </w:r>
            <w:r w:rsidRPr="00D3765D">
              <w:rPr>
                <w:rFonts w:ascii="Arial" w:hAnsi="Arial" w:cs="Arial"/>
                <w:b/>
              </w:rPr>
              <w:t>s to the Local Consultation Events</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Date</w:t>
            </w:r>
            <w:r>
              <w:rPr>
                <w:rFonts w:ascii="Arial" w:hAnsi="Arial" w:cs="Arial"/>
                <w:color w:val="000000"/>
                <w:szCs w:val="24"/>
              </w:rPr>
              <w:t xml:space="preserve"> of Event</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Residential Area (Venue)</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04/09/15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Bermuda </w:t>
            </w:r>
          </w:p>
          <w:p w:rsidR="009058CA" w:rsidRPr="00327E55" w:rsidRDefault="009058CA" w:rsidP="00747619">
            <w:pPr>
              <w:jc w:val="center"/>
              <w:rPr>
                <w:rFonts w:ascii="Arial" w:hAnsi="Arial" w:cs="Arial"/>
                <w:szCs w:val="24"/>
              </w:rPr>
            </w:pPr>
            <w:r w:rsidRPr="00327E55">
              <w:rPr>
                <w:rFonts w:ascii="Arial" w:hAnsi="Arial" w:cs="Arial"/>
                <w:color w:val="000000"/>
                <w:szCs w:val="24"/>
              </w:rPr>
              <w:t>(EPIC)</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05/09/15</w:t>
            </w:r>
          </w:p>
        </w:tc>
        <w:tc>
          <w:tcPr>
            <w:tcW w:w="5690" w:type="dxa"/>
            <w:gridSpan w:val="2"/>
          </w:tcPr>
          <w:p w:rsidR="009058CA" w:rsidRPr="00327E55" w:rsidRDefault="009058CA" w:rsidP="00747619">
            <w:pPr>
              <w:jc w:val="center"/>
              <w:rPr>
                <w:rFonts w:ascii="Arial" w:hAnsi="Arial" w:cs="Arial"/>
                <w:szCs w:val="24"/>
              </w:rPr>
            </w:pPr>
            <w:proofErr w:type="spellStart"/>
            <w:r w:rsidRPr="00327E55">
              <w:rPr>
                <w:rFonts w:ascii="Arial" w:hAnsi="Arial" w:cs="Arial"/>
                <w:color w:val="000000"/>
                <w:szCs w:val="24"/>
              </w:rPr>
              <w:t>Whittleford</w:t>
            </w:r>
            <w:proofErr w:type="spellEnd"/>
            <w:r w:rsidRPr="00327E55">
              <w:rPr>
                <w:rFonts w:ascii="Arial" w:hAnsi="Arial" w:cs="Arial"/>
                <w:color w:val="000000"/>
                <w:szCs w:val="24"/>
              </w:rPr>
              <w:t> </w:t>
            </w:r>
          </w:p>
          <w:p w:rsidR="009058CA" w:rsidRPr="00327E55" w:rsidRDefault="009058CA" w:rsidP="00747619">
            <w:pPr>
              <w:jc w:val="center"/>
              <w:rPr>
                <w:rFonts w:ascii="Arial" w:hAnsi="Arial" w:cs="Arial"/>
                <w:szCs w:val="24"/>
              </w:rPr>
            </w:pPr>
            <w:r w:rsidRPr="00327E55">
              <w:rPr>
                <w:rFonts w:ascii="Arial" w:hAnsi="Arial" w:cs="Arial"/>
                <w:color w:val="000000"/>
                <w:szCs w:val="24"/>
              </w:rPr>
              <w:t> (Community of Christ Hall)</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07/09/15</w:t>
            </w:r>
          </w:p>
        </w:tc>
        <w:tc>
          <w:tcPr>
            <w:tcW w:w="5690" w:type="dxa"/>
            <w:gridSpan w:val="2"/>
          </w:tcPr>
          <w:p w:rsidR="009058CA" w:rsidRPr="00327E55" w:rsidRDefault="009058CA" w:rsidP="00747619">
            <w:pPr>
              <w:jc w:val="center"/>
              <w:rPr>
                <w:rFonts w:ascii="Arial" w:hAnsi="Arial" w:cs="Arial"/>
                <w:szCs w:val="24"/>
              </w:rPr>
            </w:pPr>
            <w:proofErr w:type="spellStart"/>
            <w:r w:rsidRPr="00327E55">
              <w:rPr>
                <w:rFonts w:ascii="Arial" w:hAnsi="Arial" w:cs="Arial"/>
                <w:color w:val="000000"/>
                <w:szCs w:val="24"/>
              </w:rPr>
              <w:t>Stockingford</w:t>
            </w:r>
            <w:proofErr w:type="spellEnd"/>
          </w:p>
          <w:p w:rsidR="009058CA" w:rsidRPr="00327E55" w:rsidRDefault="009058CA" w:rsidP="00747619">
            <w:pPr>
              <w:jc w:val="center"/>
              <w:rPr>
                <w:rFonts w:ascii="Arial" w:hAnsi="Arial" w:cs="Arial"/>
                <w:szCs w:val="24"/>
              </w:rPr>
            </w:pPr>
            <w:r w:rsidRPr="00327E55">
              <w:rPr>
                <w:rFonts w:ascii="Arial" w:hAnsi="Arial" w:cs="Arial"/>
                <w:color w:val="000000"/>
                <w:szCs w:val="24"/>
              </w:rPr>
              <w:t>(The Pavilion Club)</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08/09/15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Camp Hill</w:t>
            </w:r>
          </w:p>
          <w:p w:rsidR="009058CA" w:rsidRPr="00327E55" w:rsidRDefault="009058CA" w:rsidP="00747619">
            <w:pPr>
              <w:jc w:val="center"/>
              <w:rPr>
                <w:rFonts w:ascii="Arial" w:hAnsi="Arial" w:cs="Arial"/>
                <w:szCs w:val="24"/>
              </w:rPr>
            </w:pPr>
            <w:r w:rsidRPr="00327E55">
              <w:rPr>
                <w:rFonts w:ascii="Arial" w:hAnsi="Arial" w:cs="Arial"/>
                <w:color w:val="000000"/>
                <w:szCs w:val="24"/>
              </w:rPr>
              <w:t>(CHESS)</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08/09/15</w:t>
            </w:r>
          </w:p>
        </w:tc>
        <w:tc>
          <w:tcPr>
            <w:tcW w:w="5690" w:type="dxa"/>
            <w:gridSpan w:val="2"/>
          </w:tcPr>
          <w:p w:rsidR="009058CA" w:rsidRPr="00327E55" w:rsidRDefault="009058CA" w:rsidP="00747619">
            <w:pPr>
              <w:jc w:val="center"/>
              <w:rPr>
                <w:rFonts w:ascii="Arial" w:hAnsi="Arial" w:cs="Arial"/>
                <w:szCs w:val="24"/>
              </w:rPr>
            </w:pPr>
            <w:proofErr w:type="spellStart"/>
            <w:r w:rsidRPr="00327E55">
              <w:rPr>
                <w:rFonts w:ascii="Arial" w:hAnsi="Arial" w:cs="Arial"/>
                <w:color w:val="000000"/>
                <w:szCs w:val="24"/>
              </w:rPr>
              <w:t>Horeston</w:t>
            </w:r>
            <w:proofErr w:type="spellEnd"/>
            <w:r w:rsidRPr="00327E55">
              <w:rPr>
                <w:rFonts w:ascii="Arial" w:hAnsi="Arial" w:cs="Arial"/>
                <w:color w:val="000000"/>
                <w:szCs w:val="24"/>
              </w:rPr>
              <w:t> Grange / Weddington</w:t>
            </w:r>
          </w:p>
          <w:p w:rsidR="009058CA" w:rsidRPr="00327E55" w:rsidRDefault="009058CA" w:rsidP="00747619">
            <w:pPr>
              <w:jc w:val="center"/>
              <w:rPr>
                <w:rFonts w:ascii="Arial" w:hAnsi="Arial" w:cs="Arial"/>
                <w:szCs w:val="24"/>
              </w:rPr>
            </w:pPr>
            <w:r w:rsidRPr="00327E55">
              <w:rPr>
                <w:rFonts w:ascii="Arial" w:hAnsi="Arial" w:cs="Arial"/>
                <w:color w:val="000000"/>
                <w:szCs w:val="24"/>
              </w:rPr>
              <w:t>(</w:t>
            </w:r>
            <w:proofErr w:type="spellStart"/>
            <w:r w:rsidRPr="00327E55">
              <w:rPr>
                <w:rFonts w:ascii="Arial" w:hAnsi="Arial" w:cs="Arial"/>
                <w:color w:val="000000"/>
                <w:szCs w:val="24"/>
              </w:rPr>
              <w:t>Etone</w:t>
            </w:r>
            <w:proofErr w:type="spellEnd"/>
            <w:r w:rsidRPr="00327E55">
              <w:rPr>
                <w:rFonts w:ascii="Arial" w:hAnsi="Arial" w:cs="Arial"/>
                <w:color w:val="000000"/>
                <w:szCs w:val="24"/>
              </w:rPr>
              <w:t> College)</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09/09/15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Heath End</w:t>
            </w:r>
          </w:p>
          <w:p w:rsidR="009058CA" w:rsidRPr="00327E55" w:rsidRDefault="009058CA" w:rsidP="00747619">
            <w:pPr>
              <w:jc w:val="center"/>
              <w:rPr>
                <w:rFonts w:ascii="Arial" w:hAnsi="Arial" w:cs="Arial"/>
                <w:szCs w:val="24"/>
              </w:rPr>
            </w:pPr>
            <w:r w:rsidRPr="00327E55">
              <w:rPr>
                <w:rFonts w:ascii="Arial" w:hAnsi="Arial" w:cs="Arial"/>
                <w:color w:val="000000"/>
                <w:szCs w:val="24"/>
              </w:rPr>
              <w:t>(Glendale Infant School)</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10/09/15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Nuneaton Town Centre</w:t>
            </w:r>
          </w:p>
          <w:p w:rsidR="009058CA" w:rsidRPr="00327E55" w:rsidRDefault="009058CA" w:rsidP="00747619">
            <w:pPr>
              <w:jc w:val="center"/>
              <w:rPr>
                <w:rFonts w:ascii="Arial" w:hAnsi="Arial" w:cs="Arial"/>
                <w:szCs w:val="24"/>
              </w:rPr>
            </w:pPr>
            <w:r w:rsidRPr="00327E55">
              <w:rPr>
                <w:rFonts w:ascii="Arial" w:hAnsi="Arial" w:cs="Arial"/>
                <w:color w:val="000000"/>
                <w:szCs w:val="24"/>
              </w:rPr>
              <w:t>(Nuneaton United Reformed Church)</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10/09/15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Hill Top</w:t>
            </w:r>
          </w:p>
          <w:p w:rsidR="009058CA" w:rsidRPr="00327E55" w:rsidRDefault="009058CA" w:rsidP="00747619">
            <w:pPr>
              <w:jc w:val="center"/>
              <w:rPr>
                <w:rFonts w:ascii="Arial" w:hAnsi="Arial" w:cs="Arial"/>
                <w:szCs w:val="24"/>
              </w:rPr>
            </w:pPr>
            <w:r w:rsidRPr="00327E55">
              <w:rPr>
                <w:rFonts w:ascii="Arial" w:hAnsi="Arial" w:cs="Arial"/>
                <w:color w:val="000000"/>
                <w:szCs w:val="24"/>
              </w:rPr>
              <w:t>(Middlemarch School)</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11/09/15</w:t>
            </w:r>
          </w:p>
        </w:tc>
        <w:tc>
          <w:tcPr>
            <w:tcW w:w="5690" w:type="dxa"/>
            <w:gridSpan w:val="2"/>
          </w:tcPr>
          <w:p w:rsidR="009058CA" w:rsidRPr="00327E55" w:rsidRDefault="009058CA" w:rsidP="00747619">
            <w:pPr>
              <w:jc w:val="center"/>
              <w:rPr>
                <w:rFonts w:ascii="Arial" w:hAnsi="Arial" w:cs="Arial"/>
                <w:szCs w:val="24"/>
              </w:rPr>
            </w:pPr>
            <w:proofErr w:type="spellStart"/>
            <w:r w:rsidRPr="00327E55">
              <w:rPr>
                <w:rFonts w:ascii="Arial" w:hAnsi="Arial" w:cs="Arial"/>
                <w:color w:val="000000"/>
                <w:szCs w:val="24"/>
              </w:rPr>
              <w:t>Hartshill</w:t>
            </w:r>
            <w:proofErr w:type="spellEnd"/>
            <w:r w:rsidRPr="00327E55">
              <w:rPr>
                <w:rFonts w:ascii="Arial" w:hAnsi="Arial" w:cs="Arial"/>
                <w:color w:val="000000"/>
                <w:szCs w:val="24"/>
              </w:rPr>
              <w:t> / Chapel End</w:t>
            </w:r>
          </w:p>
          <w:p w:rsidR="009058CA" w:rsidRPr="00327E55" w:rsidRDefault="009058CA" w:rsidP="00747619">
            <w:pPr>
              <w:jc w:val="center"/>
              <w:rPr>
                <w:rFonts w:ascii="Arial" w:hAnsi="Arial" w:cs="Arial"/>
                <w:szCs w:val="24"/>
              </w:rPr>
            </w:pPr>
            <w:r w:rsidRPr="00327E55">
              <w:rPr>
                <w:rFonts w:ascii="Arial" w:hAnsi="Arial" w:cs="Arial"/>
                <w:color w:val="000000"/>
                <w:szCs w:val="24"/>
              </w:rPr>
              <w:t>(</w:t>
            </w:r>
            <w:proofErr w:type="spellStart"/>
            <w:r w:rsidRPr="00327E55">
              <w:rPr>
                <w:rFonts w:ascii="Arial" w:hAnsi="Arial" w:cs="Arial"/>
                <w:color w:val="000000"/>
                <w:szCs w:val="24"/>
              </w:rPr>
              <w:t>Hartshill</w:t>
            </w:r>
            <w:proofErr w:type="spellEnd"/>
            <w:r w:rsidRPr="00327E55">
              <w:rPr>
                <w:rFonts w:ascii="Arial" w:hAnsi="Arial" w:cs="Arial"/>
                <w:color w:val="000000"/>
                <w:szCs w:val="24"/>
              </w:rPr>
              <w:t> Community Centre)</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14/09/15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Ansley Common</w:t>
            </w:r>
          </w:p>
          <w:p w:rsidR="009058CA" w:rsidRPr="00327E55" w:rsidRDefault="009058CA" w:rsidP="00747619">
            <w:pPr>
              <w:jc w:val="center"/>
              <w:rPr>
                <w:rFonts w:ascii="Arial" w:hAnsi="Arial" w:cs="Arial"/>
                <w:szCs w:val="24"/>
              </w:rPr>
            </w:pPr>
            <w:r w:rsidRPr="00327E55">
              <w:rPr>
                <w:rFonts w:ascii="Arial" w:hAnsi="Arial" w:cs="Arial"/>
                <w:color w:val="000000"/>
                <w:szCs w:val="24"/>
              </w:rPr>
              <w:t>(Nursery Hill Primary School)</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15/09/15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Nuneaton Town Centre</w:t>
            </w:r>
          </w:p>
          <w:p w:rsidR="009058CA" w:rsidRPr="00327E55" w:rsidRDefault="009058CA" w:rsidP="00747619">
            <w:pPr>
              <w:jc w:val="center"/>
              <w:rPr>
                <w:rFonts w:ascii="Arial" w:hAnsi="Arial" w:cs="Arial"/>
                <w:szCs w:val="24"/>
              </w:rPr>
            </w:pPr>
            <w:r w:rsidRPr="00327E55">
              <w:rPr>
                <w:rFonts w:ascii="Arial" w:hAnsi="Arial" w:cs="Arial"/>
                <w:color w:val="000000"/>
                <w:szCs w:val="24"/>
              </w:rPr>
              <w:t>(Rope Walk Shopping Centre)</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15/09/15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Galley Common</w:t>
            </w:r>
          </w:p>
          <w:p w:rsidR="009058CA" w:rsidRPr="00327E55" w:rsidRDefault="009058CA" w:rsidP="00747619">
            <w:pPr>
              <w:jc w:val="center"/>
              <w:rPr>
                <w:rFonts w:ascii="Arial" w:hAnsi="Arial" w:cs="Arial"/>
                <w:szCs w:val="24"/>
              </w:rPr>
            </w:pPr>
            <w:r w:rsidRPr="00327E55">
              <w:rPr>
                <w:rFonts w:ascii="Arial" w:hAnsi="Arial" w:cs="Arial"/>
                <w:color w:val="000000"/>
                <w:szCs w:val="24"/>
              </w:rPr>
              <w:t>(</w:t>
            </w:r>
            <w:proofErr w:type="spellStart"/>
            <w:r w:rsidRPr="00327E55">
              <w:rPr>
                <w:rFonts w:ascii="Arial" w:hAnsi="Arial" w:cs="Arial"/>
                <w:color w:val="000000"/>
                <w:szCs w:val="24"/>
              </w:rPr>
              <w:t>Haunchwood</w:t>
            </w:r>
            <w:proofErr w:type="spellEnd"/>
            <w:r w:rsidRPr="00327E55">
              <w:rPr>
                <w:rFonts w:ascii="Arial" w:hAnsi="Arial" w:cs="Arial"/>
                <w:color w:val="000000"/>
                <w:szCs w:val="24"/>
              </w:rPr>
              <w:t xml:space="preserve"> Sports and Social Club)</w:t>
            </w:r>
          </w:p>
        </w:tc>
      </w:tr>
      <w:tr w:rsidR="009058CA" w:rsidRPr="00064A33" w:rsidTr="00AE7671">
        <w:tc>
          <w:tcPr>
            <w:tcW w:w="2843" w:type="dxa"/>
          </w:tcPr>
          <w:p w:rsidR="009058CA" w:rsidRPr="00327E55" w:rsidRDefault="009058CA" w:rsidP="00747619">
            <w:pPr>
              <w:jc w:val="center"/>
              <w:rPr>
                <w:rFonts w:ascii="Arial" w:hAnsi="Arial" w:cs="Arial"/>
                <w:szCs w:val="24"/>
              </w:rPr>
            </w:pPr>
            <w:r w:rsidRPr="00327E55">
              <w:rPr>
                <w:rFonts w:ascii="Arial" w:hAnsi="Arial" w:cs="Arial"/>
                <w:color w:val="000000"/>
                <w:szCs w:val="24"/>
              </w:rPr>
              <w:t>16/09/15</w:t>
            </w:r>
          </w:p>
        </w:tc>
        <w:tc>
          <w:tcPr>
            <w:tcW w:w="5690" w:type="dxa"/>
            <w:gridSpan w:val="2"/>
          </w:tcPr>
          <w:p w:rsidR="009058CA" w:rsidRPr="00327E55" w:rsidRDefault="009058CA" w:rsidP="00747619">
            <w:pPr>
              <w:jc w:val="center"/>
              <w:rPr>
                <w:rFonts w:ascii="Arial" w:hAnsi="Arial" w:cs="Arial"/>
                <w:szCs w:val="24"/>
              </w:rPr>
            </w:pPr>
            <w:r w:rsidRPr="00327E55">
              <w:rPr>
                <w:rFonts w:ascii="Arial" w:hAnsi="Arial" w:cs="Arial"/>
                <w:color w:val="000000"/>
                <w:szCs w:val="24"/>
              </w:rPr>
              <w:t>Bedworth Town Centre</w:t>
            </w:r>
          </w:p>
          <w:p w:rsidR="009058CA" w:rsidRPr="00327E55" w:rsidRDefault="009058CA" w:rsidP="00747619">
            <w:pPr>
              <w:jc w:val="center"/>
              <w:rPr>
                <w:rFonts w:ascii="Arial" w:hAnsi="Arial" w:cs="Arial"/>
                <w:szCs w:val="24"/>
              </w:rPr>
            </w:pPr>
            <w:r w:rsidRPr="00327E55">
              <w:rPr>
                <w:rFonts w:ascii="Arial" w:hAnsi="Arial" w:cs="Arial"/>
                <w:color w:val="000000"/>
                <w:szCs w:val="24"/>
              </w:rPr>
              <w:t>Bedworth Civic Hall</w:t>
            </w:r>
          </w:p>
        </w:tc>
      </w:tr>
      <w:tr w:rsidR="0038751B" w:rsidRPr="00064A33" w:rsidTr="00747619">
        <w:tc>
          <w:tcPr>
            <w:tcW w:w="5688" w:type="dxa"/>
            <w:gridSpan w:val="2"/>
          </w:tcPr>
          <w:p w:rsidR="0038751B" w:rsidRPr="00327E55" w:rsidRDefault="0038751B" w:rsidP="00747619">
            <w:pPr>
              <w:jc w:val="center"/>
              <w:rPr>
                <w:rFonts w:cs="Arial"/>
                <w:color w:val="000000"/>
                <w:szCs w:val="24"/>
              </w:rPr>
            </w:pPr>
            <w:r>
              <w:rPr>
                <w:rFonts w:ascii="Arial" w:hAnsi="Arial" w:cs="Arial"/>
                <w:color w:val="000000"/>
                <w:szCs w:val="24"/>
              </w:rPr>
              <w:t>Total Number of Visit</w:t>
            </w:r>
            <w:r w:rsidRPr="00327E55">
              <w:rPr>
                <w:rFonts w:ascii="Arial" w:hAnsi="Arial" w:cs="Arial"/>
                <w:color w:val="000000"/>
                <w:szCs w:val="24"/>
              </w:rPr>
              <w:t>s</w:t>
            </w:r>
          </w:p>
        </w:tc>
        <w:tc>
          <w:tcPr>
            <w:tcW w:w="2845" w:type="dxa"/>
          </w:tcPr>
          <w:p w:rsidR="0038751B" w:rsidRPr="00327E55" w:rsidRDefault="0038751B" w:rsidP="00747619">
            <w:pPr>
              <w:jc w:val="center"/>
              <w:rPr>
                <w:rFonts w:cs="Arial"/>
                <w:color w:val="000000"/>
                <w:szCs w:val="24"/>
              </w:rPr>
            </w:pPr>
            <w:r w:rsidRPr="00327E55">
              <w:rPr>
                <w:rFonts w:ascii="Arial" w:hAnsi="Arial" w:cs="Arial"/>
                <w:color w:val="000000"/>
                <w:szCs w:val="24"/>
              </w:rPr>
              <w:t>471</w:t>
            </w:r>
          </w:p>
        </w:tc>
      </w:tr>
    </w:tbl>
    <w:p w:rsidR="002E5ED5" w:rsidRDefault="002E5ED5">
      <w:pPr>
        <w:rPr>
          <w:b/>
        </w:rPr>
      </w:pPr>
    </w:p>
    <w:p w:rsidR="002E5ED5" w:rsidRDefault="002E5ED5">
      <w:pPr>
        <w:rPr>
          <w:b/>
        </w:rPr>
      </w:pPr>
      <w:r>
        <w:rPr>
          <w:b/>
        </w:rPr>
        <w:br w:type="page"/>
      </w:r>
    </w:p>
    <w:p w:rsidR="00CC0F10" w:rsidRDefault="00CC0F10" w:rsidP="00CC0F10">
      <w:pPr>
        <w:rPr>
          <w:b/>
        </w:rPr>
      </w:pPr>
      <w:r>
        <w:rPr>
          <w:b/>
        </w:rPr>
        <w:lastRenderedPageBreak/>
        <w:t>Appendix D</w:t>
      </w:r>
    </w:p>
    <w:p w:rsidR="00CC0F10" w:rsidRDefault="00CC0F10" w:rsidP="00CC0F10">
      <w:pPr>
        <w:rPr>
          <w:b/>
        </w:rPr>
      </w:pPr>
    </w:p>
    <w:tbl>
      <w:tblPr>
        <w:tblStyle w:val="TableGrid"/>
        <w:tblW w:w="0" w:type="auto"/>
        <w:tblInd w:w="817" w:type="dxa"/>
        <w:tblLook w:val="04A0" w:firstRow="1" w:lastRow="0" w:firstColumn="1" w:lastColumn="0" w:noHBand="0" w:noVBand="1"/>
      </w:tblPr>
      <w:tblGrid>
        <w:gridCol w:w="4565"/>
        <w:gridCol w:w="3860"/>
      </w:tblGrid>
      <w:tr w:rsidR="00CC0F10" w:rsidRPr="00272B6F" w:rsidTr="001336C9">
        <w:tc>
          <w:tcPr>
            <w:tcW w:w="8425" w:type="dxa"/>
            <w:gridSpan w:val="2"/>
          </w:tcPr>
          <w:p w:rsidR="00CC0F10" w:rsidRPr="00D3765D" w:rsidRDefault="00CC0F10" w:rsidP="001336C9">
            <w:pPr>
              <w:ind w:left="1026" w:hanging="1026"/>
              <w:rPr>
                <w:rFonts w:ascii="Arial" w:hAnsi="Arial" w:cs="Arial"/>
                <w:b/>
                <w:szCs w:val="24"/>
              </w:rPr>
            </w:pPr>
            <w:r w:rsidRPr="00D3765D">
              <w:rPr>
                <w:rFonts w:ascii="Arial" w:hAnsi="Arial" w:cs="Arial"/>
                <w:b/>
                <w:szCs w:val="24"/>
              </w:rPr>
              <w:t>Table 3:  Potential Revisions to the Scheme as an Outcome of the Consultation</w:t>
            </w:r>
          </w:p>
        </w:tc>
      </w:tr>
      <w:tr w:rsidR="00CC0F10" w:rsidRPr="00272B6F" w:rsidTr="001336C9">
        <w:tc>
          <w:tcPr>
            <w:tcW w:w="4565" w:type="dxa"/>
          </w:tcPr>
          <w:p w:rsidR="00CC0F10" w:rsidRPr="003A1FD8" w:rsidRDefault="00CC0F10" w:rsidP="001336C9">
            <w:pPr>
              <w:jc w:val="center"/>
              <w:rPr>
                <w:rFonts w:ascii="Arial" w:hAnsi="Arial" w:cs="Arial"/>
                <w:szCs w:val="24"/>
              </w:rPr>
            </w:pPr>
            <w:r w:rsidRPr="003A1FD8">
              <w:rPr>
                <w:rFonts w:ascii="Arial" w:hAnsi="Arial" w:cs="Arial"/>
                <w:szCs w:val="24"/>
              </w:rPr>
              <w:t>Proposal</w:t>
            </w:r>
          </w:p>
        </w:tc>
        <w:tc>
          <w:tcPr>
            <w:tcW w:w="3860" w:type="dxa"/>
          </w:tcPr>
          <w:p w:rsidR="00CC0F10" w:rsidRPr="003A1FD8" w:rsidRDefault="00CC0F10" w:rsidP="001336C9">
            <w:pPr>
              <w:jc w:val="center"/>
              <w:rPr>
                <w:rFonts w:ascii="Arial" w:hAnsi="Arial" w:cs="Arial"/>
                <w:szCs w:val="24"/>
              </w:rPr>
            </w:pPr>
            <w:r w:rsidRPr="003A1FD8">
              <w:rPr>
                <w:rFonts w:ascii="Arial" w:hAnsi="Arial" w:cs="Arial"/>
                <w:szCs w:val="24"/>
              </w:rPr>
              <w:t>Purpose</w:t>
            </w:r>
          </w:p>
        </w:tc>
      </w:tr>
      <w:tr w:rsidR="00CC0F10" w:rsidRPr="00272B6F" w:rsidTr="001336C9">
        <w:tc>
          <w:tcPr>
            <w:tcW w:w="4565" w:type="dxa"/>
          </w:tcPr>
          <w:p w:rsidR="00CC0F10" w:rsidRPr="00272B6F" w:rsidRDefault="00CC0F10" w:rsidP="001336C9">
            <w:pPr>
              <w:rPr>
                <w:rFonts w:ascii="Arial" w:hAnsi="Arial" w:cs="Arial"/>
                <w:szCs w:val="24"/>
              </w:rPr>
            </w:pPr>
            <w:r w:rsidRPr="00272B6F">
              <w:rPr>
                <w:rFonts w:ascii="Arial" w:hAnsi="Arial" w:cs="Arial"/>
                <w:szCs w:val="24"/>
              </w:rPr>
              <w:t xml:space="preserve">Introduction of traffic </w:t>
            </w:r>
            <w:r w:rsidRPr="003A1FD8">
              <w:rPr>
                <w:rFonts w:ascii="Arial" w:hAnsi="Arial" w:cs="Arial"/>
                <w:szCs w:val="24"/>
              </w:rPr>
              <w:t>calming measures on </w:t>
            </w:r>
            <w:proofErr w:type="spellStart"/>
            <w:r w:rsidRPr="003A1FD8">
              <w:rPr>
                <w:rFonts w:ascii="Arial" w:hAnsi="Arial" w:cs="Arial"/>
                <w:szCs w:val="24"/>
              </w:rPr>
              <w:t>Shillingstone</w:t>
            </w:r>
            <w:proofErr w:type="spellEnd"/>
            <w:r w:rsidRPr="003A1FD8">
              <w:rPr>
                <w:rFonts w:ascii="Arial" w:hAnsi="Arial" w:cs="Arial"/>
                <w:szCs w:val="24"/>
              </w:rPr>
              <w:t> Drive, Cornish Crescent</w:t>
            </w:r>
            <w:r>
              <w:rPr>
                <w:rFonts w:ascii="Arial" w:hAnsi="Arial" w:cs="Arial"/>
                <w:szCs w:val="24"/>
              </w:rPr>
              <w:t>,</w:t>
            </w:r>
            <w:r w:rsidRPr="00272B6F">
              <w:rPr>
                <w:rFonts w:ascii="Arial" w:hAnsi="Arial" w:cs="Arial"/>
                <w:szCs w:val="24"/>
              </w:rPr>
              <w:t xml:space="preserve"> </w:t>
            </w:r>
            <w:r w:rsidRPr="003A1FD8">
              <w:rPr>
                <w:rFonts w:ascii="Arial" w:hAnsi="Arial" w:cs="Arial"/>
                <w:szCs w:val="24"/>
              </w:rPr>
              <w:t>Radley Drive and Orkney Close</w:t>
            </w:r>
          </w:p>
        </w:tc>
        <w:tc>
          <w:tcPr>
            <w:tcW w:w="3860" w:type="dxa"/>
          </w:tcPr>
          <w:p w:rsidR="00CC0F10" w:rsidRPr="00272B6F" w:rsidRDefault="00CC0F10" w:rsidP="001336C9">
            <w:pPr>
              <w:rPr>
                <w:rFonts w:ascii="Arial" w:hAnsi="Arial" w:cs="Arial"/>
                <w:szCs w:val="24"/>
              </w:rPr>
            </w:pPr>
            <w:r>
              <w:rPr>
                <w:rFonts w:ascii="Arial" w:hAnsi="Arial" w:cs="Arial"/>
                <w:szCs w:val="24"/>
              </w:rPr>
              <w:t>Deter rat-</w:t>
            </w:r>
            <w:r w:rsidRPr="003A1FD8">
              <w:rPr>
                <w:rFonts w:ascii="Arial" w:hAnsi="Arial" w:cs="Arial"/>
                <w:szCs w:val="24"/>
              </w:rPr>
              <w:t>runni</w:t>
            </w:r>
            <w:r>
              <w:rPr>
                <w:rFonts w:ascii="Arial" w:hAnsi="Arial" w:cs="Arial"/>
                <w:szCs w:val="24"/>
              </w:rPr>
              <w:t>ng onto the proposed link route over Bermuda Bridge</w:t>
            </w:r>
            <w:r w:rsidR="00D93B90">
              <w:rPr>
                <w:rFonts w:ascii="Arial" w:hAnsi="Arial" w:cs="Arial"/>
                <w:szCs w:val="24"/>
              </w:rPr>
              <w:t>.</w:t>
            </w:r>
          </w:p>
        </w:tc>
      </w:tr>
      <w:tr w:rsidR="00CC0F10" w:rsidRPr="00272B6F" w:rsidTr="001336C9">
        <w:tc>
          <w:tcPr>
            <w:tcW w:w="4565" w:type="dxa"/>
          </w:tcPr>
          <w:p w:rsidR="00CC0F10" w:rsidRPr="00272B6F" w:rsidRDefault="00CC0F10" w:rsidP="001336C9">
            <w:pPr>
              <w:rPr>
                <w:rFonts w:ascii="Arial" w:hAnsi="Arial" w:cs="Arial"/>
                <w:szCs w:val="24"/>
              </w:rPr>
            </w:pPr>
            <w:r w:rsidRPr="003A1FD8">
              <w:rPr>
                <w:rFonts w:ascii="Arial" w:hAnsi="Arial" w:cs="Arial"/>
                <w:szCs w:val="24"/>
              </w:rPr>
              <w:t xml:space="preserve">An additional crossing </w:t>
            </w:r>
            <w:r>
              <w:rPr>
                <w:rFonts w:ascii="Arial" w:hAnsi="Arial" w:cs="Arial"/>
                <w:szCs w:val="24"/>
              </w:rPr>
              <w:t xml:space="preserve">is </w:t>
            </w:r>
            <w:r w:rsidRPr="003A1FD8">
              <w:rPr>
                <w:rFonts w:ascii="Arial" w:hAnsi="Arial" w:cs="Arial"/>
                <w:szCs w:val="24"/>
              </w:rPr>
              <w:t xml:space="preserve">put in place at the northern section of Bermuda Road between junctions with </w:t>
            </w:r>
            <w:proofErr w:type="spellStart"/>
            <w:r w:rsidRPr="003A1FD8">
              <w:rPr>
                <w:rFonts w:ascii="Arial" w:hAnsi="Arial" w:cs="Arial"/>
                <w:szCs w:val="24"/>
              </w:rPr>
              <w:t>Tenlo</w:t>
            </w:r>
            <w:r>
              <w:rPr>
                <w:rFonts w:ascii="Arial" w:hAnsi="Arial" w:cs="Arial"/>
                <w:szCs w:val="24"/>
              </w:rPr>
              <w:t>ns</w:t>
            </w:r>
            <w:proofErr w:type="spellEnd"/>
            <w:r>
              <w:rPr>
                <w:rFonts w:ascii="Arial" w:hAnsi="Arial" w:cs="Arial"/>
                <w:szCs w:val="24"/>
              </w:rPr>
              <w:t> Road and </w:t>
            </w:r>
            <w:proofErr w:type="spellStart"/>
            <w:r>
              <w:rPr>
                <w:rFonts w:ascii="Arial" w:hAnsi="Arial" w:cs="Arial"/>
                <w:szCs w:val="24"/>
              </w:rPr>
              <w:t>Shillingstone</w:t>
            </w:r>
            <w:proofErr w:type="spellEnd"/>
            <w:r>
              <w:rPr>
                <w:rFonts w:ascii="Arial" w:hAnsi="Arial" w:cs="Arial"/>
                <w:szCs w:val="24"/>
              </w:rPr>
              <w:t> Drive</w:t>
            </w:r>
          </w:p>
        </w:tc>
        <w:tc>
          <w:tcPr>
            <w:tcW w:w="3860" w:type="dxa"/>
          </w:tcPr>
          <w:p w:rsidR="00CC0F10" w:rsidRPr="00272B6F" w:rsidRDefault="00CC0F10" w:rsidP="001336C9">
            <w:pPr>
              <w:rPr>
                <w:rFonts w:ascii="Arial" w:hAnsi="Arial" w:cs="Arial"/>
                <w:szCs w:val="24"/>
              </w:rPr>
            </w:pPr>
            <w:r>
              <w:rPr>
                <w:rFonts w:ascii="Arial" w:hAnsi="Arial" w:cs="Arial"/>
                <w:szCs w:val="24"/>
              </w:rPr>
              <w:t>P</w:t>
            </w:r>
            <w:r w:rsidRPr="003A1FD8">
              <w:rPr>
                <w:rFonts w:ascii="Arial" w:hAnsi="Arial" w:cs="Arial"/>
                <w:szCs w:val="24"/>
              </w:rPr>
              <w:t>rovide pedestrian connectivity to</w:t>
            </w:r>
            <w:r>
              <w:rPr>
                <w:rFonts w:ascii="Arial" w:hAnsi="Arial" w:cs="Arial"/>
                <w:szCs w:val="24"/>
              </w:rPr>
              <w:t xml:space="preserve">wards George Eliot Hospital, a </w:t>
            </w:r>
            <w:r w:rsidRPr="003A1FD8">
              <w:rPr>
                <w:rFonts w:ascii="Arial" w:hAnsi="Arial" w:cs="Arial"/>
                <w:szCs w:val="24"/>
              </w:rPr>
              <w:t xml:space="preserve">nearby bus stop and </w:t>
            </w:r>
            <w:r>
              <w:rPr>
                <w:rFonts w:ascii="Arial" w:hAnsi="Arial" w:cs="Arial"/>
                <w:szCs w:val="24"/>
              </w:rPr>
              <w:t xml:space="preserve">an existing </w:t>
            </w:r>
            <w:r w:rsidRPr="003A1FD8">
              <w:rPr>
                <w:rFonts w:ascii="Arial" w:hAnsi="Arial" w:cs="Arial"/>
                <w:szCs w:val="24"/>
              </w:rPr>
              <w:t>walking route for vulnerable road users, e.g. school</w:t>
            </w:r>
            <w:r>
              <w:rPr>
                <w:rFonts w:ascii="Arial" w:hAnsi="Arial" w:cs="Arial"/>
                <w:szCs w:val="24"/>
              </w:rPr>
              <w:t xml:space="preserve"> children and mobility impaired.</w:t>
            </w:r>
          </w:p>
        </w:tc>
      </w:tr>
      <w:tr w:rsidR="00CC0F10" w:rsidRPr="00272B6F" w:rsidTr="001336C9">
        <w:tc>
          <w:tcPr>
            <w:tcW w:w="4565" w:type="dxa"/>
          </w:tcPr>
          <w:p w:rsidR="00CC0F10" w:rsidRPr="00272B6F" w:rsidRDefault="00CC0F10" w:rsidP="001336C9">
            <w:pPr>
              <w:rPr>
                <w:rFonts w:ascii="Arial" w:hAnsi="Arial" w:cs="Arial"/>
                <w:szCs w:val="24"/>
              </w:rPr>
            </w:pPr>
            <w:r>
              <w:rPr>
                <w:rFonts w:ascii="Arial" w:hAnsi="Arial" w:cs="Arial"/>
                <w:szCs w:val="24"/>
              </w:rPr>
              <w:t>A</w:t>
            </w:r>
            <w:r w:rsidRPr="00272B6F">
              <w:rPr>
                <w:rFonts w:ascii="Arial" w:hAnsi="Arial" w:cs="Arial"/>
                <w:szCs w:val="24"/>
              </w:rPr>
              <w:t xml:space="preserve"> car park </w:t>
            </w:r>
            <w:r>
              <w:rPr>
                <w:rFonts w:ascii="Arial" w:hAnsi="Arial" w:cs="Arial"/>
                <w:szCs w:val="24"/>
              </w:rPr>
              <w:t xml:space="preserve">is created potentially on a site adjacent to </w:t>
            </w:r>
            <w:proofErr w:type="spellStart"/>
            <w:r>
              <w:rPr>
                <w:rFonts w:ascii="Arial" w:hAnsi="Arial" w:cs="Arial"/>
                <w:szCs w:val="24"/>
              </w:rPr>
              <w:t>Tenlons</w:t>
            </w:r>
            <w:proofErr w:type="spellEnd"/>
            <w:r>
              <w:rPr>
                <w:rFonts w:ascii="Arial" w:hAnsi="Arial" w:cs="Arial"/>
                <w:szCs w:val="24"/>
              </w:rPr>
              <w:t xml:space="preserve"> Road</w:t>
            </w:r>
          </w:p>
        </w:tc>
        <w:tc>
          <w:tcPr>
            <w:tcW w:w="3860" w:type="dxa"/>
          </w:tcPr>
          <w:p w:rsidR="00CC0F10" w:rsidRPr="00272B6F" w:rsidRDefault="00CC0F10" w:rsidP="001336C9">
            <w:pPr>
              <w:rPr>
                <w:rFonts w:ascii="Arial" w:hAnsi="Arial" w:cs="Arial"/>
                <w:szCs w:val="24"/>
              </w:rPr>
            </w:pPr>
            <w:r>
              <w:rPr>
                <w:rFonts w:ascii="Arial" w:hAnsi="Arial" w:cs="Arial"/>
                <w:szCs w:val="24"/>
              </w:rPr>
              <w:t xml:space="preserve">Provide a facility for parking in consideration of the parking restrictions associated with the proposed link route.  This would provide safe parking for parents taking children to school and would also deter parking being displaced from </w:t>
            </w:r>
            <w:proofErr w:type="spellStart"/>
            <w:r>
              <w:rPr>
                <w:rFonts w:ascii="Arial" w:hAnsi="Arial" w:cs="Arial"/>
                <w:szCs w:val="24"/>
              </w:rPr>
              <w:t>Tenlons</w:t>
            </w:r>
            <w:proofErr w:type="spellEnd"/>
            <w:r>
              <w:rPr>
                <w:rFonts w:ascii="Arial" w:hAnsi="Arial" w:cs="Arial"/>
                <w:szCs w:val="24"/>
              </w:rPr>
              <w:t xml:space="preserve"> Road into </w:t>
            </w:r>
            <w:proofErr w:type="spellStart"/>
            <w:r>
              <w:rPr>
                <w:rFonts w:ascii="Arial" w:hAnsi="Arial" w:cs="Arial"/>
                <w:szCs w:val="24"/>
              </w:rPr>
              <w:t>Shillingstone</w:t>
            </w:r>
            <w:proofErr w:type="spellEnd"/>
            <w:r>
              <w:rPr>
                <w:rFonts w:ascii="Arial" w:hAnsi="Arial" w:cs="Arial"/>
                <w:szCs w:val="24"/>
              </w:rPr>
              <w:t xml:space="preserve"> Drive.</w:t>
            </w:r>
          </w:p>
        </w:tc>
      </w:tr>
      <w:tr w:rsidR="00CC0F10" w:rsidRPr="00FA2F46" w:rsidTr="001336C9">
        <w:tc>
          <w:tcPr>
            <w:tcW w:w="4565" w:type="dxa"/>
          </w:tcPr>
          <w:p w:rsidR="00CC0F10" w:rsidRPr="00FA2F46" w:rsidRDefault="00CC0F10" w:rsidP="001336C9">
            <w:pPr>
              <w:rPr>
                <w:rFonts w:ascii="Arial" w:hAnsi="Arial" w:cs="Arial"/>
                <w:szCs w:val="24"/>
              </w:rPr>
            </w:pPr>
            <w:r w:rsidRPr="00FA2F46">
              <w:rPr>
                <w:rFonts w:ascii="Arial" w:hAnsi="Arial" w:cs="Arial"/>
                <w:szCs w:val="24"/>
              </w:rPr>
              <w:t xml:space="preserve">All </w:t>
            </w:r>
            <w:r>
              <w:rPr>
                <w:rFonts w:ascii="Arial" w:hAnsi="Arial" w:cs="Arial"/>
                <w:szCs w:val="24"/>
              </w:rPr>
              <w:t xml:space="preserve">6 no. </w:t>
            </w:r>
            <w:r w:rsidRPr="00FA2F46">
              <w:rPr>
                <w:rFonts w:ascii="Arial" w:hAnsi="Arial" w:cs="Arial"/>
                <w:szCs w:val="24"/>
              </w:rPr>
              <w:t xml:space="preserve">proposed </w:t>
            </w:r>
            <w:r>
              <w:rPr>
                <w:rFonts w:ascii="Arial" w:hAnsi="Arial" w:cs="Arial"/>
                <w:szCs w:val="24"/>
              </w:rPr>
              <w:t xml:space="preserve">shared </w:t>
            </w:r>
            <w:r w:rsidRPr="003A1FD8">
              <w:rPr>
                <w:rFonts w:ascii="Arial" w:hAnsi="Arial" w:cs="Arial"/>
                <w:szCs w:val="24"/>
              </w:rPr>
              <w:t>pedestrian</w:t>
            </w:r>
            <w:r>
              <w:rPr>
                <w:rFonts w:ascii="Arial" w:hAnsi="Arial" w:cs="Arial"/>
                <w:szCs w:val="24"/>
              </w:rPr>
              <w:t>/cycle crossings</w:t>
            </w:r>
            <w:r w:rsidRPr="00FA2F46">
              <w:rPr>
                <w:rFonts w:ascii="Arial" w:hAnsi="Arial" w:cs="Arial"/>
                <w:szCs w:val="24"/>
              </w:rPr>
              <w:t xml:space="preserve"> </w:t>
            </w:r>
            <w:r w:rsidRPr="003A1FD8">
              <w:rPr>
                <w:rFonts w:ascii="Arial" w:hAnsi="Arial" w:cs="Arial"/>
                <w:szCs w:val="24"/>
              </w:rPr>
              <w:t>on Bermuda Road, The Bridleway and St Georges Way</w:t>
            </w:r>
            <w:r>
              <w:rPr>
                <w:rFonts w:ascii="Arial" w:hAnsi="Arial" w:cs="Arial"/>
                <w:szCs w:val="24"/>
              </w:rPr>
              <w:t xml:space="preserve"> presented in the Consultation drawings as being uncontrolled crossings are to be upgraded to signal controlled</w:t>
            </w:r>
          </w:p>
        </w:tc>
        <w:tc>
          <w:tcPr>
            <w:tcW w:w="3860" w:type="dxa"/>
          </w:tcPr>
          <w:p w:rsidR="00CC0F10" w:rsidRPr="00FA2F46" w:rsidRDefault="00CC0F10" w:rsidP="001336C9">
            <w:pPr>
              <w:rPr>
                <w:rFonts w:ascii="Arial" w:hAnsi="Arial" w:cs="Arial"/>
                <w:szCs w:val="24"/>
              </w:rPr>
            </w:pPr>
            <w:r>
              <w:rPr>
                <w:rFonts w:ascii="Arial" w:hAnsi="Arial" w:cs="Arial"/>
                <w:szCs w:val="24"/>
              </w:rPr>
              <w:t>F</w:t>
            </w:r>
            <w:r w:rsidRPr="003A1FD8">
              <w:rPr>
                <w:rFonts w:ascii="Arial" w:hAnsi="Arial" w:cs="Arial"/>
                <w:szCs w:val="24"/>
              </w:rPr>
              <w:t>urther enha</w:t>
            </w:r>
            <w:r>
              <w:rPr>
                <w:rFonts w:ascii="Arial" w:hAnsi="Arial" w:cs="Arial"/>
                <w:szCs w:val="24"/>
              </w:rPr>
              <w:t>nce road safety for pedestrians</w:t>
            </w:r>
            <w:r w:rsidR="00D93B90">
              <w:rPr>
                <w:rFonts w:ascii="Arial" w:hAnsi="Arial" w:cs="Arial"/>
                <w:szCs w:val="24"/>
              </w:rPr>
              <w:t>.</w:t>
            </w:r>
          </w:p>
        </w:tc>
      </w:tr>
      <w:tr w:rsidR="00CC0F10" w:rsidRPr="00FA2F46" w:rsidTr="001336C9">
        <w:tc>
          <w:tcPr>
            <w:tcW w:w="4565" w:type="dxa"/>
          </w:tcPr>
          <w:p w:rsidR="00CC0F10" w:rsidRDefault="00CC0F10" w:rsidP="001336C9">
            <w:pPr>
              <w:rPr>
                <w:rFonts w:ascii="Arial" w:hAnsi="Arial" w:cs="Arial"/>
                <w:szCs w:val="24"/>
              </w:rPr>
            </w:pPr>
            <w:r w:rsidRPr="003A1FD8">
              <w:rPr>
                <w:rFonts w:ascii="Arial" w:hAnsi="Arial" w:cs="Arial"/>
                <w:szCs w:val="24"/>
              </w:rPr>
              <w:t>Expand the extent of scheme to also include the enhancement of the following junctions:</w:t>
            </w:r>
          </w:p>
          <w:p w:rsidR="00CC0F10" w:rsidRDefault="00CC0F10" w:rsidP="001336C9">
            <w:pPr>
              <w:pStyle w:val="ListParagraph"/>
              <w:numPr>
                <w:ilvl w:val="0"/>
                <w:numId w:val="11"/>
              </w:numPr>
              <w:rPr>
                <w:rFonts w:ascii="Arial" w:hAnsi="Arial" w:cs="Arial"/>
                <w:szCs w:val="24"/>
              </w:rPr>
            </w:pPr>
            <w:r w:rsidRPr="00FA2F46">
              <w:rPr>
                <w:rFonts w:ascii="Arial" w:hAnsi="Arial" w:cs="Arial"/>
                <w:szCs w:val="24"/>
              </w:rPr>
              <w:t>Arbury Road / Heath End Road;</w:t>
            </w:r>
          </w:p>
          <w:p w:rsidR="00CC0F10" w:rsidRDefault="00CC0F10" w:rsidP="001336C9">
            <w:pPr>
              <w:pStyle w:val="ListParagraph"/>
              <w:numPr>
                <w:ilvl w:val="0"/>
                <w:numId w:val="11"/>
              </w:numPr>
              <w:rPr>
                <w:rFonts w:ascii="Arial" w:hAnsi="Arial" w:cs="Arial"/>
                <w:szCs w:val="24"/>
              </w:rPr>
            </w:pPr>
            <w:r w:rsidRPr="00FA2F46">
              <w:rPr>
                <w:rFonts w:ascii="Arial" w:hAnsi="Arial" w:cs="Arial"/>
                <w:szCs w:val="24"/>
              </w:rPr>
              <w:t>Arbury Road / Westbury Road; and</w:t>
            </w:r>
          </w:p>
          <w:p w:rsidR="00CC0F10" w:rsidRPr="00FA2F46" w:rsidRDefault="00CC0F10" w:rsidP="001336C9">
            <w:pPr>
              <w:pStyle w:val="ListParagraph"/>
              <w:numPr>
                <w:ilvl w:val="0"/>
                <w:numId w:val="11"/>
              </w:numPr>
              <w:rPr>
                <w:rFonts w:ascii="Arial" w:hAnsi="Arial" w:cs="Arial"/>
                <w:szCs w:val="24"/>
              </w:rPr>
            </w:pPr>
            <w:r w:rsidRPr="00FA2F46">
              <w:rPr>
                <w:rFonts w:ascii="Arial" w:hAnsi="Arial" w:cs="Arial"/>
                <w:szCs w:val="24"/>
              </w:rPr>
              <w:t>Arbury Road / Church Road.</w:t>
            </w:r>
          </w:p>
        </w:tc>
        <w:tc>
          <w:tcPr>
            <w:tcW w:w="3860" w:type="dxa"/>
          </w:tcPr>
          <w:p w:rsidR="00CC0F10" w:rsidRPr="00FA2F46" w:rsidRDefault="00CC0F10" w:rsidP="001336C9">
            <w:pPr>
              <w:rPr>
                <w:rFonts w:ascii="Arial" w:hAnsi="Arial" w:cs="Arial"/>
                <w:szCs w:val="24"/>
              </w:rPr>
            </w:pPr>
            <w:r w:rsidRPr="003A1FD8">
              <w:rPr>
                <w:rFonts w:ascii="Arial" w:hAnsi="Arial" w:cs="Arial"/>
                <w:szCs w:val="24"/>
              </w:rPr>
              <w:t>Holistic approach to ensure that traffic flow runs smoothly onto Heath End Roa</w:t>
            </w:r>
            <w:r>
              <w:rPr>
                <w:rFonts w:ascii="Arial" w:hAnsi="Arial" w:cs="Arial"/>
                <w:szCs w:val="24"/>
              </w:rPr>
              <w:t>d prior to using the proposed link route</w:t>
            </w:r>
            <w:r w:rsidR="00D93B90">
              <w:rPr>
                <w:rFonts w:ascii="Arial" w:hAnsi="Arial" w:cs="Arial"/>
                <w:szCs w:val="24"/>
              </w:rPr>
              <w:t>.</w:t>
            </w:r>
          </w:p>
        </w:tc>
      </w:tr>
      <w:tr w:rsidR="00CC0F10" w:rsidRPr="00FA2F46" w:rsidTr="001336C9">
        <w:tc>
          <w:tcPr>
            <w:tcW w:w="4565" w:type="dxa"/>
          </w:tcPr>
          <w:p w:rsidR="00CC0F10" w:rsidRPr="00FA2F46" w:rsidRDefault="00CC0F10" w:rsidP="001336C9">
            <w:pPr>
              <w:rPr>
                <w:rFonts w:ascii="Arial" w:hAnsi="Arial" w:cs="Arial"/>
                <w:szCs w:val="24"/>
              </w:rPr>
            </w:pPr>
            <w:r w:rsidRPr="003A1FD8">
              <w:rPr>
                <w:rFonts w:ascii="Arial" w:hAnsi="Arial" w:cs="Arial"/>
                <w:szCs w:val="24"/>
              </w:rPr>
              <w:t>Expand the extent of scheme to also include</w:t>
            </w:r>
            <w:r>
              <w:rPr>
                <w:rFonts w:ascii="Arial" w:hAnsi="Arial" w:cs="Arial"/>
                <w:szCs w:val="24"/>
              </w:rPr>
              <w:t xml:space="preserve"> Tomkinson Road, Northumberland Avenue and The </w:t>
            </w:r>
            <w:proofErr w:type="spellStart"/>
            <w:r>
              <w:rPr>
                <w:rFonts w:ascii="Arial" w:hAnsi="Arial" w:cs="Arial"/>
                <w:szCs w:val="24"/>
              </w:rPr>
              <w:t>Raywoods</w:t>
            </w:r>
            <w:proofErr w:type="spellEnd"/>
          </w:p>
        </w:tc>
        <w:tc>
          <w:tcPr>
            <w:tcW w:w="3860" w:type="dxa"/>
          </w:tcPr>
          <w:p w:rsidR="00CC0F10" w:rsidRPr="00FA2F46" w:rsidRDefault="00CC0F10" w:rsidP="001336C9">
            <w:pPr>
              <w:rPr>
                <w:rFonts w:ascii="Arial" w:hAnsi="Arial" w:cs="Arial"/>
                <w:szCs w:val="24"/>
              </w:rPr>
            </w:pPr>
            <w:r>
              <w:rPr>
                <w:rFonts w:ascii="Arial" w:hAnsi="Arial" w:cs="Arial"/>
                <w:szCs w:val="24"/>
              </w:rPr>
              <w:t>Introduc</w:t>
            </w:r>
            <w:r w:rsidRPr="00FA2F46">
              <w:rPr>
                <w:rFonts w:ascii="Arial" w:hAnsi="Arial" w:cs="Arial"/>
                <w:szCs w:val="24"/>
              </w:rPr>
              <w:t>e</w:t>
            </w:r>
            <w:r>
              <w:rPr>
                <w:rFonts w:ascii="Arial" w:hAnsi="Arial" w:cs="Arial"/>
                <w:szCs w:val="24"/>
              </w:rPr>
              <w:t xml:space="preserve"> measures to deter rat-running onto the proposed link route on these roads</w:t>
            </w:r>
            <w:r w:rsidR="00D93B90">
              <w:rPr>
                <w:rFonts w:ascii="Arial" w:hAnsi="Arial" w:cs="Arial"/>
                <w:szCs w:val="24"/>
              </w:rPr>
              <w:t>.</w:t>
            </w:r>
          </w:p>
        </w:tc>
      </w:tr>
      <w:tr w:rsidR="00CC0F10" w:rsidRPr="00FA2F46" w:rsidTr="001336C9">
        <w:tc>
          <w:tcPr>
            <w:tcW w:w="4565" w:type="dxa"/>
          </w:tcPr>
          <w:p w:rsidR="00CC0F10" w:rsidRPr="000E65DB" w:rsidRDefault="00CC0F10" w:rsidP="001336C9">
            <w:pPr>
              <w:rPr>
                <w:rFonts w:ascii="Arial" w:hAnsi="Arial" w:cs="Arial"/>
                <w:szCs w:val="24"/>
              </w:rPr>
            </w:pPr>
            <w:r>
              <w:rPr>
                <w:rFonts w:ascii="Arial" w:hAnsi="Arial" w:cs="Arial"/>
                <w:szCs w:val="24"/>
              </w:rPr>
              <w:t>A</w:t>
            </w:r>
            <w:r w:rsidRPr="000E65DB">
              <w:rPr>
                <w:rFonts w:ascii="Arial" w:hAnsi="Arial" w:cs="Arial"/>
                <w:szCs w:val="24"/>
              </w:rPr>
              <w:t xml:space="preserve">ccess enhancements </w:t>
            </w:r>
            <w:r>
              <w:rPr>
                <w:rFonts w:ascii="Arial" w:hAnsi="Arial" w:cs="Arial"/>
                <w:szCs w:val="24"/>
              </w:rPr>
              <w:t>to</w:t>
            </w:r>
            <w:r w:rsidRPr="000E65DB">
              <w:rPr>
                <w:rFonts w:ascii="Arial" w:hAnsi="Arial" w:cs="Arial"/>
                <w:szCs w:val="24"/>
              </w:rPr>
              <w:t xml:space="preserve"> the </w:t>
            </w:r>
            <w:r>
              <w:rPr>
                <w:rFonts w:ascii="Arial" w:hAnsi="Arial" w:cs="Arial"/>
                <w:szCs w:val="24"/>
              </w:rPr>
              <w:t xml:space="preserve">existing </w:t>
            </w:r>
            <w:r w:rsidRPr="000E65DB">
              <w:rPr>
                <w:rFonts w:ascii="Arial" w:hAnsi="Arial" w:cs="Arial"/>
                <w:szCs w:val="24"/>
              </w:rPr>
              <w:t xml:space="preserve">pedestrian/cycle route </w:t>
            </w:r>
            <w:r>
              <w:rPr>
                <w:rFonts w:ascii="Arial" w:hAnsi="Arial" w:cs="Arial"/>
                <w:szCs w:val="24"/>
              </w:rPr>
              <w:t xml:space="preserve">between </w:t>
            </w:r>
            <w:r w:rsidRPr="000E65DB">
              <w:rPr>
                <w:rFonts w:ascii="Arial" w:hAnsi="Arial" w:cs="Arial"/>
                <w:szCs w:val="24"/>
              </w:rPr>
              <w:t xml:space="preserve">Hill Top </w:t>
            </w:r>
            <w:r>
              <w:rPr>
                <w:rFonts w:ascii="Arial" w:hAnsi="Arial" w:cs="Arial"/>
                <w:szCs w:val="24"/>
              </w:rPr>
              <w:t>and</w:t>
            </w:r>
            <w:r w:rsidRPr="000E65DB">
              <w:rPr>
                <w:rFonts w:ascii="Arial" w:hAnsi="Arial" w:cs="Arial"/>
                <w:szCs w:val="24"/>
              </w:rPr>
              <w:t xml:space="preserve"> </w:t>
            </w:r>
            <w:r>
              <w:rPr>
                <w:rFonts w:ascii="Arial" w:hAnsi="Arial" w:cs="Arial"/>
                <w:szCs w:val="24"/>
              </w:rPr>
              <w:t>St Georges Way</w:t>
            </w:r>
            <w:r w:rsidRPr="000E65DB">
              <w:rPr>
                <w:rFonts w:ascii="Arial" w:hAnsi="Arial" w:cs="Arial"/>
                <w:szCs w:val="24"/>
              </w:rPr>
              <w:t xml:space="preserve"> </w:t>
            </w:r>
          </w:p>
        </w:tc>
        <w:tc>
          <w:tcPr>
            <w:tcW w:w="3860" w:type="dxa"/>
          </w:tcPr>
          <w:p w:rsidR="00CC0F10" w:rsidRDefault="00CC0F10" w:rsidP="001336C9">
            <w:pPr>
              <w:rPr>
                <w:rFonts w:cs="Arial"/>
                <w:szCs w:val="24"/>
              </w:rPr>
            </w:pPr>
            <w:r>
              <w:rPr>
                <w:rFonts w:ascii="Arial" w:hAnsi="Arial" w:cs="Arial"/>
                <w:szCs w:val="24"/>
              </w:rPr>
              <w:t xml:space="preserve">Improve connectivity particularly for the elderly and </w:t>
            </w:r>
            <w:r w:rsidRPr="000E65DB">
              <w:rPr>
                <w:rFonts w:ascii="Arial" w:hAnsi="Arial" w:cs="Arial"/>
                <w:szCs w:val="24"/>
              </w:rPr>
              <w:t>mobility impaired</w:t>
            </w:r>
            <w:r w:rsidR="00D93B90">
              <w:rPr>
                <w:rFonts w:ascii="Arial" w:hAnsi="Arial" w:cs="Arial"/>
                <w:szCs w:val="24"/>
              </w:rPr>
              <w:t>.</w:t>
            </w:r>
          </w:p>
        </w:tc>
      </w:tr>
      <w:tr w:rsidR="00CC0F10" w:rsidRPr="00FA2F46" w:rsidTr="001336C9">
        <w:tc>
          <w:tcPr>
            <w:tcW w:w="4565" w:type="dxa"/>
          </w:tcPr>
          <w:p w:rsidR="00CC0F10" w:rsidRDefault="00CC0F10" w:rsidP="001336C9">
            <w:pPr>
              <w:rPr>
                <w:rFonts w:cs="Arial"/>
                <w:szCs w:val="24"/>
              </w:rPr>
            </w:pPr>
            <w:r>
              <w:rPr>
                <w:rFonts w:ascii="Arial" w:hAnsi="Arial" w:cs="Arial"/>
                <w:color w:val="222222"/>
                <w:szCs w:val="24"/>
                <w:shd w:val="clear" w:color="auto" w:fill="FFFFFF"/>
              </w:rPr>
              <w:t>U</w:t>
            </w:r>
            <w:r w:rsidRPr="000E65DB">
              <w:rPr>
                <w:rFonts w:ascii="Arial" w:hAnsi="Arial" w:cs="Arial"/>
                <w:color w:val="222222"/>
                <w:szCs w:val="24"/>
                <w:shd w:val="clear" w:color="auto" w:fill="FFFFFF"/>
              </w:rPr>
              <w:t>tilis</w:t>
            </w:r>
            <w:r>
              <w:rPr>
                <w:rFonts w:ascii="Arial" w:hAnsi="Arial" w:cs="Arial"/>
                <w:color w:val="222222"/>
                <w:szCs w:val="24"/>
                <w:shd w:val="clear" w:color="auto" w:fill="FFFFFF"/>
              </w:rPr>
              <w:t xml:space="preserve">e further </w:t>
            </w:r>
            <w:r w:rsidR="0051771C">
              <w:rPr>
                <w:rFonts w:ascii="Arial" w:hAnsi="Arial" w:cs="Arial"/>
                <w:color w:val="222222"/>
                <w:szCs w:val="24"/>
                <w:shd w:val="clear" w:color="auto" w:fill="FFFFFF"/>
              </w:rPr>
              <w:t xml:space="preserve"> wide sections of foot</w:t>
            </w:r>
            <w:r w:rsidRPr="000E65DB">
              <w:rPr>
                <w:rFonts w:ascii="Arial" w:hAnsi="Arial" w:cs="Arial"/>
                <w:color w:val="222222"/>
                <w:szCs w:val="24"/>
                <w:shd w:val="clear" w:color="auto" w:fill="FFFFFF"/>
              </w:rPr>
              <w:t>way on Bermuda Road to create parking spaces</w:t>
            </w:r>
          </w:p>
        </w:tc>
        <w:tc>
          <w:tcPr>
            <w:tcW w:w="3860" w:type="dxa"/>
          </w:tcPr>
          <w:p w:rsidR="00CC0F10" w:rsidRDefault="00CC0F10" w:rsidP="001336C9">
            <w:pPr>
              <w:rPr>
                <w:rFonts w:cs="Arial"/>
                <w:szCs w:val="24"/>
              </w:rPr>
            </w:pPr>
            <w:r w:rsidRPr="000E65DB">
              <w:rPr>
                <w:rFonts w:ascii="Arial" w:hAnsi="Arial" w:cs="Arial"/>
              </w:rPr>
              <w:t>Provide additional car parking capacity for local residents / visitors</w:t>
            </w:r>
            <w:r w:rsidR="00D93B90">
              <w:rPr>
                <w:rFonts w:ascii="Arial" w:hAnsi="Arial" w:cs="Arial"/>
              </w:rPr>
              <w:t>.</w:t>
            </w:r>
          </w:p>
        </w:tc>
      </w:tr>
    </w:tbl>
    <w:p w:rsidR="00CC0F10" w:rsidRDefault="00CC0F10" w:rsidP="00CC0F10">
      <w:pPr>
        <w:rPr>
          <w:b/>
        </w:rPr>
      </w:pPr>
    </w:p>
    <w:p w:rsidR="00CC0F10" w:rsidRDefault="00CC0F10" w:rsidP="00CC0F10">
      <w:pPr>
        <w:rPr>
          <w:b/>
        </w:rPr>
      </w:pPr>
      <w:r>
        <w:rPr>
          <w:b/>
        </w:rPr>
        <w:br w:type="page"/>
      </w:r>
    </w:p>
    <w:p w:rsidR="00CC0F10" w:rsidRDefault="00CC0F10" w:rsidP="00CC0F10">
      <w:pPr>
        <w:rPr>
          <w:b/>
        </w:rPr>
      </w:pPr>
      <w:r>
        <w:rPr>
          <w:b/>
        </w:rPr>
        <w:lastRenderedPageBreak/>
        <w:t>Appendix E</w:t>
      </w:r>
    </w:p>
    <w:p w:rsidR="00CC0F10" w:rsidRDefault="00CC0F10" w:rsidP="00CC0F10">
      <w:pPr>
        <w:rPr>
          <w:b/>
        </w:rPr>
      </w:pPr>
    </w:p>
    <w:p w:rsidR="00157FD7" w:rsidRPr="00157FD7" w:rsidRDefault="00157FD7" w:rsidP="00CC0F10">
      <w:pPr>
        <w:rPr>
          <w:b/>
        </w:rPr>
      </w:pPr>
      <w:r w:rsidRPr="00157FD7">
        <w:rPr>
          <w:b/>
        </w:rPr>
        <w:t>Part 1:  General Consultation Responses</w:t>
      </w:r>
    </w:p>
    <w:p w:rsidR="00157FD7" w:rsidRDefault="00157FD7" w:rsidP="00CC0F10">
      <w:pPr>
        <w:rPr>
          <w:b/>
        </w:rPr>
      </w:pPr>
    </w:p>
    <w:tbl>
      <w:tblPr>
        <w:tblStyle w:val="TableGrid"/>
        <w:tblW w:w="0" w:type="auto"/>
        <w:tblInd w:w="817" w:type="dxa"/>
        <w:tblLook w:val="04A0" w:firstRow="1" w:lastRow="0" w:firstColumn="1" w:lastColumn="0" w:noHBand="0" w:noVBand="1"/>
      </w:tblPr>
      <w:tblGrid>
        <w:gridCol w:w="3056"/>
        <w:gridCol w:w="3142"/>
        <w:gridCol w:w="2227"/>
      </w:tblGrid>
      <w:tr w:rsidR="00470240" w:rsidTr="0097003A">
        <w:tc>
          <w:tcPr>
            <w:tcW w:w="8425" w:type="dxa"/>
            <w:gridSpan w:val="3"/>
          </w:tcPr>
          <w:p w:rsidR="00470240" w:rsidRPr="00E27833" w:rsidRDefault="00470240" w:rsidP="00AB20D2">
            <w:pPr>
              <w:ind w:left="1026" w:hanging="1026"/>
              <w:rPr>
                <w:rFonts w:cs="Arial"/>
                <w:b/>
              </w:rPr>
            </w:pPr>
            <w:r w:rsidRPr="00E27833">
              <w:rPr>
                <w:rFonts w:ascii="Arial" w:hAnsi="Arial" w:cs="Arial"/>
                <w:b/>
              </w:rPr>
              <w:t xml:space="preserve">Table 4: Common </w:t>
            </w:r>
            <w:r>
              <w:rPr>
                <w:rFonts w:ascii="Arial" w:hAnsi="Arial" w:cs="Arial"/>
                <w:b/>
              </w:rPr>
              <w:t>Themes</w:t>
            </w:r>
            <w:r w:rsidRPr="00E27833">
              <w:rPr>
                <w:rFonts w:ascii="Arial" w:hAnsi="Arial" w:cs="Arial"/>
                <w:b/>
              </w:rPr>
              <w:t xml:space="preserve"> Expressed </w:t>
            </w:r>
            <w:r>
              <w:rPr>
                <w:rFonts w:ascii="Arial" w:hAnsi="Arial" w:cs="Arial"/>
                <w:b/>
              </w:rPr>
              <w:t>by Respondents  Opposing the Scheme</w:t>
            </w:r>
            <w:r w:rsidR="00E31CC1">
              <w:rPr>
                <w:rFonts w:ascii="Arial" w:hAnsi="Arial" w:cs="Arial"/>
                <w:b/>
              </w:rPr>
              <w:t xml:space="preserve"> during the Consultation</w:t>
            </w:r>
          </w:p>
        </w:tc>
      </w:tr>
      <w:tr w:rsidR="00F5337B" w:rsidTr="00470240">
        <w:tc>
          <w:tcPr>
            <w:tcW w:w="3056" w:type="dxa"/>
          </w:tcPr>
          <w:p w:rsidR="00470240" w:rsidRPr="00C948A6" w:rsidRDefault="00470240" w:rsidP="001336C9">
            <w:pPr>
              <w:jc w:val="center"/>
              <w:rPr>
                <w:rFonts w:ascii="Arial" w:hAnsi="Arial" w:cs="Arial"/>
              </w:rPr>
            </w:pPr>
            <w:r>
              <w:rPr>
                <w:rFonts w:ascii="Arial" w:hAnsi="Arial" w:cs="Arial"/>
              </w:rPr>
              <w:t xml:space="preserve">Theme </w:t>
            </w:r>
          </w:p>
        </w:tc>
        <w:tc>
          <w:tcPr>
            <w:tcW w:w="3142" w:type="dxa"/>
          </w:tcPr>
          <w:p w:rsidR="00470240" w:rsidRPr="00C948A6" w:rsidRDefault="00470240" w:rsidP="001336C9">
            <w:pPr>
              <w:jc w:val="center"/>
              <w:rPr>
                <w:rFonts w:ascii="Arial" w:hAnsi="Arial" w:cs="Arial"/>
              </w:rPr>
            </w:pPr>
            <w:r>
              <w:rPr>
                <w:rFonts w:ascii="Arial" w:hAnsi="Arial" w:cs="Arial"/>
              </w:rPr>
              <w:t>County Council Officer Response</w:t>
            </w:r>
          </w:p>
        </w:tc>
        <w:tc>
          <w:tcPr>
            <w:tcW w:w="2227" w:type="dxa"/>
          </w:tcPr>
          <w:p w:rsidR="00470240" w:rsidRPr="00470240" w:rsidRDefault="00F5337B" w:rsidP="001336C9">
            <w:pPr>
              <w:jc w:val="center"/>
              <w:rPr>
                <w:rFonts w:ascii="Arial" w:hAnsi="Arial" w:cs="Arial"/>
              </w:rPr>
            </w:pPr>
            <w:r>
              <w:rPr>
                <w:rFonts w:ascii="Arial" w:hAnsi="Arial" w:cs="Arial"/>
              </w:rPr>
              <w:t>The Way Forward</w:t>
            </w:r>
          </w:p>
        </w:tc>
      </w:tr>
      <w:tr w:rsidR="00F5337B" w:rsidTr="00470240">
        <w:tc>
          <w:tcPr>
            <w:tcW w:w="3056" w:type="dxa"/>
          </w:tcPr>
          <w:p w:rsidR="00470240" w:rsidRPr="00C948A6" w:rsidRDefault="00470240" w:rsidP="001336C9">
            <w:pPr>
              <w:ind w:left="317" w:hanging="317"/>
              <w:rPr>
                <w:rFonts w:ascii="Arial" w:hAnsi="Arial" w:cs="Arial"/>
              </w:rPr>
            </w:pPr>
            <w:r>
              <w:rPr>
                <w:rFonts w:ascii="Arial" w:hAnsi="Arial" w:cs="Arial"/>
              </w:rPr>
              <w:t>1) The proposed scheme would run through a quiet residential area and destroy an attractive part of the town – where people have purposefully settled to avoid being near busy roads.  It was claimed that some of the local residents were informed during the process of buying their homes that the Bermuda Bridge would never be opened up to traffic.</w:t>
            </w:r>
          </w:p>
        </w:tc>
        <w:tc>
          <w:tcPr>
            <w:tcW w:w="3142" w:type="dxa"/>
          </w:tcPr>
          <w:p w:rsidR="00470240" w:rsidRDefault="00470240" w:rsidP="001336C9">
            <w:pPr>
              <w:rPr>
                <w:rFonts w:ascii="Arial" w:hAnsi="Arial" w:cs="Arial"/>
              </w:rPr>
            </w:pPr>
            <w:r>
              <w:rPr>
                <w:rFonts w:ascii="Arial" w:hAnsi="Arial" w:cs="Arial"/>
              </w:rPr>
              <w:t xml:space="preserve">This is a highway capacity enhancement scheme that would directly benefit a wide area of West Nuneaton, including the Bermuda residents themselves according to the results of testing the outcomes of the proposed scheme in the WCC Nuneaton and Bedworth Borough Wide Area </w:t>
            </w:r>
            <w:proofErr w:type="spellStart"/>
            <w:r>
              <w:rPr>
                <w:rFonts w:ascii="Arial" w:hAnsi="Arial" w:cs="Arial"/>
              </w:rPr>
              <w:t>Paramics</w:t>
            </w:r>
            <w:proofErr w:type="spellEnd"/>
            <w:r>
              <w:rPr>
                <w:rFonts w:ascii="Arial" w:hAnsi="Arial" w:cs="Arial"/>
              </w:rPr>
              <w:t xml:space="preserve"> Traffic Model – Opening Year 2018.</w:t>
            </w:r>
          </w:p>
          <w:p w:rsidR="00470240" w:rsidRDefault="00470240" w:rsidP="001336C9">
            <w:pPr>
              <w:rPr>
                <w:rFonts w:ascii="Arial" w:hAnsi="Arial" w:cs="Arial"/>
              </w:rPr>
            </w:pPr>
          </w:p>
          <w:p w:rsidR="00470240" w:rsidRPr="00C948A6" w:rsidRDefault="00470240" w:rsidP="00BA58F1">
            <w:pPr>
              <w:rPr>
                <w:rFonts w:ascii="Arial" w:hAnsi="Arial" w:cs="Arial"/>
              </w:rPr>
            </w:pPr>
            <w:r>
              <w:rPr>
                <w:rFonts w:ascii="Arial" w:hAnsi="Arial" w:cs="Arial"/>
              </w:rPr>
              <w:t xml:space="preserve">From a wider West Nuneaton community perspective, the benefits of this scheme should not be ignored or downgraded because of the opposition primarily from local residents in Bermuda affected by the proposed scheme. </w:t>
            </w:r>
          </w:p>
        </w:tc>
        <w:tc>
          <w:tcPr>
            <w:tcW w:w="2227" w:type="dxa"/>
          </w:tcPr>
          <w:p w:rsidR="00470240" w:rsidRDefault="00470240" w:rsidP="001336C9">
            <w:pPr>
              <w:rPr>
                <w:rFonts w:ascii="Arial" w:hAnsi="Arial" w:cs="Arial"/>
              </w:rPr>
            </w:pPr>
            <w:r>
              <w:rPr>
                <w:rFonts w:ascii="Arial" w:hAnsi="Arial" w:cs="Arial"/>
              </w:rPr>
              <w:t>Mitigation</w:t>
            </w:r>
            <w:r w:rsidRPr="00470240">
              <w:rPr>
                <w:rFonts w:ascii="Arial" w:hAnsi="Arial" w:cs="Arial"/>
              </w:rPr>
              <w:t xml:space="preserve"> measures </w:t>
            </w:r>
            <w:r>
              <w:rPr>
                <w:rFonts w:ascii="Arial" w:hAnsi="Arial" w:cs="Arial"/>
              </w:rPr>
              <w:t>aimed at reducing the impact of the proposed scheme on affected local residents were included in the preliminary design proposals.</w:t>
            </w:r>
          </w:p>
          <w:p w:rsidR="00470240" w:rsidRDefault="00470240" w:rsidP="001336C9">
            <w:pPr>
              <w:rPr>
                <w:rFonts w:ascii="Arial" w:hAnsi="Arial" w:cs="Arial"/>
              </w:rPr>
            </w:pPr>
          </w:p>
          <w:p w:rsidR="00470240" w:rsidRPr="00470240" w:rsidRDefault="00D065BE" w:rsidP="00D065BE">
            <w:pPr>
              <w:rPr>
                <w:rFonts w:ascii="Arial" w:hAnsi="Arial" w:cs="Arial"/>
              </w:rPr>
            </w:pPr>
            <w:r>
              <w:rPr>
                <w:rFonts w:ascii="Arial" w:hAnsi="Arial" w:cs="Arial"/>
              </w:rPr>
              <w:t xml:space="preserve">As an outcome of the </w:t>
            </w:r>
            <w:r w:rsidRPr="00470240">
              <w:rPr>
                <w:rFonts w:ascii="Arial" w:hAnsi="Arial" w:cs="Arial"/>
              </w:rPr>
              <w:t>consultation</w:t>
            </w:r>
            <w:r>
              <w:rPr>
                <w:rFonts w:ascii="Arial" w:hAnsi="Arial" w:cs="Arial"/>
              </w:rPr>
              <w:t>, p</w:t>
            </w:r>
            <w:r w:rsidR="00470240" w:rsidRPr="00470240">
              <w:rPr>
                <w:rFonts w:ascii="Arial" w:hAnsi="Arial" w:cs="Arial"/>
              </w:rPr>
              <w:t xml:space="preserve">otential </w:t>
            </w:r>
            <w:r w:rsidR="00470240">
              <w:rPr>
                <w:rFonts w:ascii="Arial" w:hAnsi="Arial" w:cs="Arial"/>
              </w:rPr>
              <w:t xml:space="preserve">revisions to the scheme which would contribute towards further reducing the impact </w:t>
            </w:r>
            <w:r>
              <w:rPr>
                <w:rFonts w:ascii="Arial" w:hAnsi="Arial" w:cs="Arial"/>
              </w:rPr>
              <w:t xml:space="preserve">on affected local residents </w:t>
            </w:r>
            <w:r w:rsidR="00470240">
              <w:rPr>
                <w:rFonts w:ascii="Arial" w:hAnsi="Arial" w:cs="Arial"/>
              </w:rPr>
              <w:t xml:space="preserve">will also </w:t>
            </w:r>
            <w:r>
              <w:rPr>
                <w:rFonts w:ascii="Arial" w:hAnsi="Arial" w:cs="Arial"/>
              </w:rPr>
              <w:t xml:space="preserve">be considered, </w:t>
            </w:r>
            <w:r w:rsidR="00470240">
              <w:rPr>
                <w:rFonts w:ascii="Arial" w:hAnsi="Arial" w:cs="Arial"/>
              </w:rPr>
              <w:t>if Option 1 is progressed.</w:t>
            </w:r>
          </w:p>
        </w:tc>
      </w:tr>
      <w:tr w:rsidR="00F5337B" w:rsidTr="00470240">
        <w:tc>
          <w:tcPr>
            <w:tcW w:w="3056" w:type="dxa"/>
          </w:tcPr>
          <w:p w:rsidR="00470240" w:rsidRPr="00DB7AB3" w:rsidRDefault="00470240" w:rsidP="001336C9">
            <w:pPr>
              <w:ind w:left="317" w:hanging="317"/>
              <w:rPr>
                <w:rFonts w:ascii="Arial" w:hAnsi="Arial" w:cs="Arial"/>
              </w:rPr>
            </w:pPr>
            <w:r>
              <w:rPr>
                <w:rFonts w:ascii="Arial" w:hAnsi="Arial" w:cs="Arial"/>
                <w:color w:val="222222"/>
                <w:szCs w:val="24"/>
              </w:rPr>
              <w:t>2) T</w:t>
            </w:r>
            <w:r w:rsidRPr="00115B1E">
              <w:rPr>
                <w:rFonts w:ascii="Arial" w:hAnsi="Arial" w:cs="Arial"/>
                <w:color w:val="222222"/>
                <w:szCs w:val="24"/>
              </w:rPr>
              <w:t xml:space="preserve">he other </w:t>
            </w:r>
            <w:r>
              <w:rPr>
                <w:rFonts w:ascii="Arial" w:hAnsi="Arial" w:cs="Arial"/>
                <w:color w:val="222222"/>
                <w:szCs w:val="24"/>
              </w:rPr>
              <w:t>initiatives on the A444 Corridor I</w:t>
            </w:r>
            <w:r w:rsidRPr="00115B1E">
              <w:rPr>
                <w:rFonts w:ascii="Arial" w:hAnsi="Arial" w:cs="Arial"/>
                <w:color w:val="222222"/>
                <w:szCs w:val="24"/>
              </w:rPr>
              <w:t xml:space="preserve">mprovements </w:t>
            </w:r>
            <w:r>
              <w:rPr>
                <w:rFonts w:ascii="Arial" w:hAnsi="Arial" w:cs="Arial"/>
                <w:color w:val="222222"/>
                <w:szCs w:val="24"/>
              </w:rPr>
              <w:t xml:space="preserve">programme </w:t>
            </w:r>
            <w:r w:rsidRPr="00115B1E">
              <w:rPr>
                <w:rFonts w:ascii="Arial" w:hAnsi="Arial" w:cs="Arial"/>
                <w:color w:val="222222"/>
                <w:szCs w:val="24"/>
              </w:rPr>
              <w:t xml:space="preserve">should be implemented  before the Bermuda Connection </w:t>
            </w:r>
            <w:r>
              <w:rPr>
                <w:rFonts w:ascii="Arial" w:hAnsi="Arial" w:cs="Arial"/>
                <w:color w:val="222222"/>
                <w:szCs w:val="24"/>
              </w:rPr>
              <w:t>scheme</w:t>
            </w:r>
            <w:r w:rsidRPr="00115B1E">
              <w:rPr>
                <w:rFonts w:ascii="Arial" w:hAnsi="Arial" w:cs="Arial"/>
                <w:color w:val="222222"/>
                <w:szCs w:val="24"/>
              </w:rPr>
              <w:t xml:space="preserve"> is even </w:t>
            </w:r>
            <w:r>
              <w:rPr>
                <w:rFonts w:ascii="Arial" w:hAnsi="Arial" w:cs="Arial"/>
                <w:color w:val="222222"/>
                <w:szCs w:val="24"/>
              </w:rPr>
              <w:t>consider</w:t>
            </w:r>
            <w:r w:rsidRPr="00115B1E">
              <w:rPr>
                <w:rFonts w:ascii="Arial" w:hAnsi="Arial" w:cs="Arial"/>
                <w:color w:val="222222"/>
                <w:szCs w:val="24"/>
              </w:rPr>
              <w:t>ed</w:t>
            </w:r>
          </w:p>
        </w:tc>
        <w:tc>
          <w:tcPr>
            <w:tcW w:w="3142" w:type="dxa"/>
          </w:tcPr>
          <w:p w:rsidR="00470240" w:rsidRDefault="00233757" w:rsidP="001336C9">
            <w:pPr>
              <w:rPr>
                <w:rFonts w:ascii="Arial" w:hAnsi="Arial" w:cs="Arial"/>
              </w:rPr>
            </w:pPr>
            <w:r>
              <w:rPr>
                <w:rFonts w:ascii="Arial" w:hAnsi="Arial" w:cs="Arial"/>
              </w:rPr>
              <w:t>The Bermuda Connection scheme is required to support the other elements of</w:t>
            </w:r>
            <w:r w:rsidR="00470240" w:rsidRPr="00DB7AB3">
              <w:rPr>
                <w:rFonts w:ascii="Arial" w:hAnsi="Arial" w:cs="Arial"/>
              </w:rPr>
              <w:t xml:space="preserve"> the Programme of A444 Corridor Improvements.</w:t>
            </w:r>
          </w:p>
          <w:p w:rsidR="00470240" w:rsidRDefault="00470240" w:rsidP="001336C9">
            <w:pPr>
              <w:rPr>
                <w:rFonts w:ascii="Arial" w:hAnsi="Arial" w:cs="Arial"/>
              </w:rPr>
            </w:pPr>
          </w:p>
          <w:p w:rsidR="00F47FB7" w:rsidRDefault="00F60AE2" w:rsidP="001336C9">
            <w:pPr>
              <w:rPr>
                <w:rFonts w:ascii="Arial" w:hAnsi="Arial" w:cs="Arial"/>
              </w:rPr>
            </w:pPr>
            <w:r>
              <w:rPr>
                <w:rFonts w:ascii="Arial" w:hAnsi="Arial" w:cs="Arial"/>
              </w:rPr>
              <w:t>In terms of the P</w:t>
            </w:r>
            <w:r w:rsidR="00F47FB7">
              <w:rPr>
                <w:rFonts w:ascii="Arial" w:hAnsi="Arial" w:cs="Arial"/>
              </w:rPr>
              <w:t>rogramme</w:t>
            </w:r>
            <w:r w:rsidR="00F47FB7" w:rsidRPr="00DB7AB3">
              <w:rPr>
                <w:rFonts w:ascii="Arial" w:hAnsi="Arial" w:cs="Arial"/>
              </w:rPr>
              <w:t xml:space="preserve"> of A444 Corridor Improvements</w:t>
            </w:r>
            <w:r w:rsidR="00F47FB7">
              <w:rPr>
                <w:rFonts w:ascii="Arial" w:hAnsi="Arial" w:cs="Arial"/>
              </w:rPr>
              <w:t xml:space="preserve">, only the </w:t>
            </w:r>
            <w:proofErr w:type="spellStart"/>
            <w:r w:rsidR="00F47FB7">
              <w:rPr>
                <w:rFonts w:ascii="Arial" w:hAnsi="Arial" w:cs="Arial"/>
              </w:rPr>
              <w:t>Coton</w:t>
            </w:r>
            <w:proofErr w:type="spellEnd"/>
            <w:r w:rsidR="00F47FB7">
              <w:rPr>
                <w:rFonts w:ascii="Arial" w:hAnsi="Arial" w:cs="Arial"/>
              </w:rPr>
              <w:t xml:space="preserve"> Arches Roundabout and Bermuda Connection scheme have received funding.  </w:t>
            </w:r>
          </w:p>
          <w:p w:rsidR="00F47FB7" w:rsidRDefault="00F47FB7" w:rsidP="001336C9">
            <w:pPr>
              <w:rPr>
                <w:rFonts w:ascii="Arial" w:hAnsi="Arial" w:cs="Arial"/>
              </w:rPr>
            </w:pPr>
          </w:p>
          <w:p w:rsidR="00470240" w:rsidRPr="00233757" w:rsidRDefault="00F47FB7" w:rsidP="00F47FB7">
            <w:pPr>
              <w:rPr>
                <w:rFonts w:ascii="Arial" w:hAnsi="Arial" w:cs="Arial"/>
              </w:rPr>
            </w:pPr>
            <w:r>
              <w:rPr>
                <w:rFonts w:ascii="Arial" w:hAnsi="Arial" w:cs="Arial"/>
              </w:rPr>
              <w:t xml:space="preserve">There is no guarantee the other elements of the programme will ever </w:t>
            </w:r>
            <w:r w:rsidR="00637FD5">
              <w:rPr>
                <w:rFonts w:ascii="Arial" w:hAnsi="Arial" w:cs="Arial"/>
              </w:rPr>
              <w:lastRenderedPageBreak/>
              <w:t xml:space="preserve">receive funding to secure </w:t>
            </w:r>
            <w:r>
              <w:rPr>
                <w:rFonts w:ascii="Arial" w:hAnsi="Arial" w:cs="Arial"/>
              </w:rPr>
              <w:t>deliver</w:t>
            </w:r>
            <w:r w:rsidR="00637FD5">
              <w:rPr>
                <w:rFonts w:ascii="Arial" w:hAnsi="Arial" w:cs="Arial"/>
              </w:rPr>
              <w:t>y</w:t>
            </w:r>
            <w:r>
              <w:rPr>
                <w:rFonts w:ascii="Arial" w:hAnsi="Arial" w:cs="Arial"/>
              </w:rPr>
              <w:t xml:space="preserve">. </w:t>
            </w:r>
            <w:r w:rsidR="00DE7F0B">
              <w:rPr>
                <w:rFonts w:ascii="Arial" w:hAnsi="Arial" w:cs="Arial"/>
              </w:rPr>
              <w:t xml:space="preserve"> </w:t>
            </w:r>
          </w:p>
        </w:tc>
        <w:tc>
          <w:tcPr>
            <w:tcW w:w="2227" w:type="dxa"/>
          </w:tcPr>
          <w:p w:rsidR="00470240" w:rsidRPr="00D065BE" w:rsidRDefault="00D065BE" w:rsidP="00F5337B">
            <w:pPr>
              <w:rPr>
                <w:rFonts w:ascii="Arial" w:hAnsi="Arial" w:cs="Arial"/>
              </w:rPr>
            </w:pPr>
            <w:r w:rsidRPr="00D065BE">
              <w:rPr>
                <w:rFonts w:ascii="Arial" w:hAnsi="Arial" w:cs="Arial"/>
              </w:rPr>
              <w:lastRenderedPageBreak/>
              <w:t xml:space="preserve">No action </w:t>
            </w:r>
            <w:r w:rsidR="00F5337B">
              <w:rPr>
                <w:rFonts w:ascii="Arial" w:hAnsi="Arial" w:cs="Arial"/>
              </w:rPr>
              <w:t>taken</w:t>
            </w:r>
            <w:r w:rsidRPr="00D065BE">
              <w:rPr>
                <w:rFonts w:ascii="Arial" w:hAnsi="Arial" w:cs="Arial"/>
              </w:rPr>
              <w:t>.</w:t>
            </w:r>
          </w:p>
        </w:tc>
      </w:tr>
      <w:tr w:rsidR="00F5337B" w:rsidTr="00470240">
        <w:tc>
          <w:tcPr>
            <w:tcW w:w="3056" w:type="dxa"/>
          </w:tcPr>
          <w:p w:rsidR="00470240" w:rsidRPr="002428B1" w:rsidRDefault="00470240" w:rsidP="001336C9">
            <w:pPr>
              <w:ind w:left="317" w:hanging="317"/>
              <w:rPr>
                <w:rFonts w:ascii="Arial" w:hAnsi="Arial" w:cs="Arial"/>
                <w:color w:val="222222"/>
                <w:szCs w:val="24"/>
              </w:rPr>
            </w:pPr>
            <w:r>
              <w:rPr>
                <w:rFonts w:ascii="Arial" w:hAnsi="Arial" w:cs="Arial"/>
                <w:color w:val="222222"/>
                <w:szCs w:val="24"/>
              </w:rPr>
              <w:lastRenderedPageBreak/>
              <w:t xml:space="preserve">3) </w:t>
            </w:r>
            <w:r w:rsidRPr="002428B1">
              <w:rPr>
                <w:rFonts w:ascii="Arial" w:hAnsi="Arial" w:cs="Arial"/>
                <w:color w:val="222222"/>
                <w:szCs w:val="24"/>
              </w:rPr>
              <w:t>The</w:t>
            </w:r>
            <w:r>
              <w:rPr>
                <w:rFonts w:ascii="Arial" w:hAnsi="Arial" w:cs="Arial"/>
                <w:color w:val="222222"/>
                <w:szCs w:val="24"/>
              </w:rPr>
              <w:t xml:space="preserve"> proposed</w:t>
            </w:r>
            <w:r w:rsidRPr="002428B1">
              <w:rPr>
                <w:rFonts w:ascii="Arial" w:hAnsi="Arial" w:cs="Arial"/>
                <w:color w:val="222222"/>
                <w:szCs w:val="24"/>
              </w:rPr>
              <w:t xml:space="preserve"> scheme would </w:t>
            </w:r>
            <w:r>
              <w:rPr>
                <w:rFonts w:ascii="Arial" w:hAnsi="Arial" w:cs="Arial"/>
                <w:color w:val="222222"/>
                <w:szCs w:val="24"/>
              </w:rPr>
              <w:t xml:space="preserve">exacerbate the potential for rat-running on </w:t>
            </w:r>
            <w:proofErr w:type="spellStart"/>
            <w:r w:rsidRPr="003A1FD8">
              <w:rPr>
                <w:rFonts w:ascii="Arial" w:hAnsi="Arial" w:cs="Arial"/>
                <w:szCs w:val="24"/>
              </w:rPr>
              <w:t>Shillingstone</w:t>
            </w:r>
            <w:proofErr w:type="spellEnd"/>
            <w:r w:rsidRPr="003A1FD8">
              <w:rPr>
                <w:rFonts w:ascii="Arial" w:hAnsi="Arial" w:cs="Arial"/>
                <w:szCs w:val="24"/>
              </w:rPr>
              <w:t> Drive, Cornish Crescent</w:t>
            </w:r>
            <w:r>
              <w:rPr>
                <w:rFonts w:ascii="Arial" w:hAnsi="Arial" w:cs="Arial"/>
                <w:szCs w:val="24"/>
              </w:rPr>
              <w:t>,</w:t>
            </w:r>
            <w:r w:rsidRPr="00272B6F">
              <w:rPr>
                <w:rFonts w:ascii="Arial" w:hAnsi="Arial" w:cs="Arial"/>
                <w:szCs w:val="24"/>
              </w:rPr>
              <w:t xml:space="preserve"> </w:t>
            </w:r>
            <w:r w:rsidRPr="003A1FD8">
              <w:rPr>
                <w:rFonts w:ascii="Arial" w:hAnsi="Arial" w:cs="Arial"/>
                <w:szCs w:val="24"/>
              </w:rPr>
              <w:t>Radley Drive and Orkney Close</w:t>
            </w:r>
          </w:p>
        </w:tc>
        <w:tc>
          <w:tcPr>
            <w:tcW w:w="3142" w:type="dxa"/>
          </w:tcPr>
          <w:p w:rsidR="00470240" w:rsidRPr="002428B1" w:rsidRDefault="00470240" w:rsidP="00A759B2">
            <w:pPr>
              <w:rPr>
                <w:rFonts w:ascii="Arial" w:hAnsi="Arial" w:cs="Arial"/>
              </w:rPr>
            </w:pPr>
            <w:r>
              <w:rPr>
                <w:rFonts w:ascii="Arial" w:hAnsi="Arial" w:cs="Arial"/>
              </w:rPr>
              <w:t>As present</w:t>
            </w:r>
            <w:r w:rsidRPr="002428B1">
              <w:rPr>
                <w:rFonts w:ascii="Arial" w:hAnsi="Arial" w:cs="Arial"/>
              </w:rPr>
              <w:t xml:space="preserve">ed in Table 3, </w:t>
            </w:r>
            <w:r>
              <w:rPr>
                <w:rFonts w:ascii="Arial" w:hAnsi="Arial" w:cs="Arial"/>
              </w:rPr>
              <w:t>potential mitigation measures in respect to rat-running along these roads will be considered during detailed design phase</w:t>
            </w:r>
            <w:r w:rsidRPr="002428B1">
              <w:rPr>
                <w:rFonts w:ascii="Arial" w:hAnsi="Arial" w:cs="Arial"/>
              </w:rPr>
              <w:t>, should the County Council Cabinet decide to proceed with</w:t>
            </w:r>
            <w:r>
              <w:rPr>
                <w:rFonts w:ascii="Arial" w:hAnsi="Arial" w:cs="Arial"/>
              </w:rPr>
              <w:t xml:space="preserve"> Option 1 </w:t>
            </w:r>
            <w:r w:rsidRPr="00E27833">
              <w:rPr>
                <w:rFonts w:ascii="Arial" w:hAnsi="Arial" w:cs="Arial"/>
              </w:rPr>
              <w:t>deta</w:t>
            </w:r>
            <w:r>
              <w:rPr>
                <w:rFonts w:ascii="Arial" w:hAnsi="Arial" w:cs="Arial"/>
              </w:rPr>
              <w:t>iled in the ‘Option</w:t>
            </w:r>
            <w:r w:rsidRPr="00E27833">
              <w:rPr>
                <w:rFonts w:ascii="Arial" w:hAnsi="Arial" w:cs="Arial"/>
              </w:rPr>
              <w:t>’ section of this report.</w:t>
            </w:r>
            <w:r>
              <w:t xml:space="preserve">   </w:t>
            </w:r>
            <w:r w:rsidRPr="002428B1">
              <w:rPr>
                <w:rFonts w:ascii="Arial" w:hAnsi="Arial" w:cs="Arial"/>
              </w:rPr>
              <w:t xml:space="preserve"> </w:t>
            </w:r>
          </w:p>
        </w:tc>
        <w:tc>
          <w:tcPr>
            <w:tcW w:w="2227" w:type="dxa"/>
          </w:tcPr>
          <w:p w:rsidR="00470240" w:rsidRPr="00D065BE" w:rsidRDefault="00D065BE" w:rsidP="00F5337B">
            <w:pPr>
              <w:rPr>
                <w:rFonts w:ascii="Arial" w:hAnsi="Arial" w:cs="Arial"/>
              </w:rPr>
            </w:pPr>
            <w:r>
              <w:rPr>
                <w:rFonts w:ascii="Arial" w:hAnsi="Arial" w:cs="Arial"/>
              </w:rPr>
              <w:t xml:space="preserve">Potential measures </w:t>
            </w:r>
            <w:r w:rsidR="00F5337B">
              <w:rPr>
                <w:rFonts w:ascii="Arial" w:hAnsi="Arial" w:cs="Arial"/>
              </w:rPr>
              <w:t xml:space="preserve">to </w:t>
            </w:r>
            <w:r>
              <w:rPr>
                <w:rFonts w:ascii="Arial" w:hAnsi="Arial" w:cs="Arial"/>
              </w:rPr>
              <w:t xml:space="preserve">combat rat-running </w:t>
            </w:r>
            <w:r w:rsidR="00E94C90">
              <w:rPr>
                <w:rFonts w:ascii="Arial" w:hAnsi="Arial" w:cs="Arial"/>
              </w:rPr>
              <w:t xml:space="preserve">will be </w:t>
            </w:r>
            <w:r>
              <w:rPr>
                <w:rFonts w:ascii="Arial" w:hAnsi="Arial" w:cs="Arial"/>
              </w:rPr>
              <w:t xml:space="preserve">considered for inclusion in the scheme, if Option 1 is progressed. </w:t>
            </w:r>
          </w:p>
        </w:tc>
      </w:tr>
      <w:tr w:rsidR="00F5337B" w:rsidRPr="002428B1" w:rsidTr="00470240">
        <w:tc>
          <w:tcPr>
            <w:tcW w:w="3056" w:type="dxa"/>
          </w:tcPr>
          <w:p w:rsidR="00470240" w:rsidRPr="002428B1" w:rsidRDefault="00470240" w:rsidP="001336C9">
            <w:pPr>
              <w:ind w:left="317" w:hanging="317"/>
              <w:rPr>
                <w:rFonts w:ascii="Arial" w:hAnsi="Arial" w:cs="Arial"/>
                <w:color w:val="222222"/>
                <w:szCs w:val="24"/>
              </w:rPr>
            </w:pPr>
            <w:r>
              <w:rPr>
                <w:rFonts w:ascii="Arial" w:hAnsi="Arial" w:cs="Arial"/>
                <w:color w:val="222222"/>
                <w:szCs w:val="24"/>
              </w:rPr>
              <w:t>4) The proposed scheme will worsen the local environment in the Bermuda residential area in terms of air quality, noise pollution, vibration on properties adjacent to the proposed route, wildlife and the nearby Ensor’s Pool.</w:t>
            </w:r>
          </w:p>
        </w:tc>
        <w:tc>
          <w:tcPr>
            <w:tcW w:w="3142" w:type="dxa"/>
          </w:tcPr>
          <w:p w:rsidR="00470240" w:rsidRDefault="00470240" w:rsidP="001336C9">
            <w:pPr>
              <w:rPr>
                <w:rFonts w:ascii="Arial" w:hAnsi="Arial" w:cs="Arial"/>
              </w:rPr>
            </w:pPr>
            <w:r>
              <w:rPr>
                <w:rFonts w:ascii="Arial" w:hAnsi="Arial" w:cs="Arial"/>
              </w:rPr>
              <w:t xml:space="preserve">Preliminary environmental surveys have been carried out by Atkins.  Based on their findings, it is anticipated that the proposed scheme is unlikely to have significant impacts on the local environment or nearby properties. </w:t>
            </w:r>
          </w:p>
          <w:p w:rsidR="00470240" w:rsidRDefault="00470240" w:rsidP="001336C9">
            <w:pPr>
              <w:rPr>
                <w:rFonts w:ascii="Arial" w:hAnsi="Arial" w:cs="Arial"/>
              </w:rPr>
            </w:pPr>
          </w:p>
          <w:p w:rsidR="00470240" w:rsidRPr="003C1BFF" w:rsidRDefault="00470240" w:rsidP="00C662AC">
            <w:pPr>
              <w:rPr>
                <w:rFonts w:ascii="Arial" w:hAnsi="Arial" w:cs="Arial"/>
              </w:rPr>
            </w:pPr>
          </w:p>
        </w:tc>
        <w:tc>
          <w:tcPr>
            <w:tcW w:w="2227" w:type="dxa"/>
          </w:tcPr>
          <w:p w:rsidR="00E94C90" w:rsidRDefault="00E94C90" w:rsidP="001336C9">
            <w:pPr>
              <w:rPr>
                <w:rFonts w:ascii="Arial" w:hAnsi="Arial" w:cs="Arial"/>
              </w:rPr>
            </w:pPr>
            <w:r w:rsidRPr="00E94C90">
              <w:rPr>
                <w:rFonts w:ascii="Arial" w:hAnsi="Arial" w:cs="Arial"/>
              </w:rPr>
              <w:t>If the sch</w:t>
            </w:r>
            <w:r>
              <w:rPr>
                <w:rFonts w:ascii="Arial" w:hAnsi="Arial" w:cs="Arial"/>
              </w:rPr>
              <w:t xml:space="preserve">eme is progressed, detailed design and construction method would include mitigating any potentially significant impact of noise on nearby properties.   </w:t>
            </w:r>
          </w:p>
          <w:p w:rsidR="00E94C90" w:rsidRDefault="00E94C90" w:rsidP="001336C9">
            <w:pPr>
              <w:rPr>
                <w:rFonts w:ascii="Arial" w:hAnsi="Arial" w:cs="Arial"/>
              </w:rPr>
            </w:pPr>
          </w:p>
          <w:p w:rsidR="00470240" w:rsidRPr="00E94C90" w:rsidRDefault="00F5337B" w:rsidP="00F5337B">
            <w:pPr>
              <w:rPr>
                <w:rFonts w:ascii="Arial" w:hAnsi="Arial" w:cs="Arial"/>
              </w:rPr>
            </w:pPr>
            <w:r>
              <w:rPr>
                <w:rFonts w:ascii="Arial" w:hAnsi="Arial" w:cs="Arial"/>
              </w:rPr>
              <w:t xml:space="preserve">In addition, further </w:t>
            </w:r>
            <w:r w:rsidR="00E94C90">
              <w:rPr>
                <w:rFonts w:ascii="Arial" w:hAnsi="Arial" w:cs="Arial"/>
              </w:rPr>
              <w:t xml:space="preserve">detailed environmental work will </w:t>
            </w:r>
            <w:r>
              <w:rPr>
                <w:rFonts w:ascii="Arial" w:hAnsi="Arial" w:cs="Arial"/>
              </w:rPr>
              <w:t xml:space="preserve">also </w:t>
            </w:r>
            <w:r w:rsidR="00E94C90">
              <w:rPr>
                <w:rFonts w:ascii="Arial" w:hAnsi="Arial" w:cs="Arial"/>
              </w:rPr>
              <w:t xml:space="preserve">be undertaken.  This will include </w:t>
            </w:r>
            <w:r w:rsidR="00E94C90">
              <w:rPr>
                <w:rFonts w:ascii="Arial" w:hAnsi="Arial" w:cs="Arial"/>
                <w:szCs w:val="24"/>
                <w:shd w:val="clear" w:color="auto" w:fill="FFFFFF"/>
              </w:rPr>
              <w:t xml:space="preserve">collaboration with </w:t>
            </w:r>
            <w:r w:rsidR="00E94C90" w:rsidRPr="0050129B">
              <w:rPr>
                <w:rFonts w:ascii="Arial" w:hAnsi="Arial" w:cs="Arial"/>
                <w:szCs w:val="24"/>
                <w:shd w:val="clear" w:color="auto" w:fill="FFFFFF"/>
              </w:rPr>
              <w:t>officers from the Local Planning Authority and with Environmental Health Officers at N</w:t>
            </w:r>
            <w:r w:rsidR="00E94C90">
              <w:rPr>
                <w:rFonts w:ascii="Arial" w:hAnsi="Arial" w:cs="Arial"/>
                <w:szCs w:val="24"/>
                <w:shd w:val="clear" w:color="auto" w:fill="FFFFFF"/>
              </w:rPr>
              <w:t>uneaton and Bedworth Borough Council.</w:t>
            </w:r>
          </w:p>
        </w:tc>
      </w:tr>
      <w:tr w:rsidR="00F5337B" w:rsidRPr="0021284C" w:rsidTr="00470240">
        <w:tc>
          <w:tcPr>
            <w:tcW w:w="3056" w:type="dxa"/>
          </w:tcPr>
          <w:p w:rsidR="00470240" w:rsidRPr="0021284C" w:rsidRDefault="00470240" w:rsidP="001336C9">
            <w:pPr>
              <w:ind w:left="317" w:hanging="317"/>
              <w:rPr>
                <w:rFonts w:ascii="Arial" w:hAnsi="Arial" w:cs="Arial"/>
                <w:color w:val="222222"/>
                <w:szCs w:val="24"/>
              </w:rPr>
            </w:pPr>
            <w:r>
              <w:rPr>
                <w:rFonts w:ascii="Arial" w:hAnsi="Arial" w:cs="Arial"/>
                <w:color w:val="222222"/>
                <w:szCs w:val="24"/>
              </w:rPr>
              <w:t>5) The proposed scheme inv</w:t>
            </w:r>
            <w:r w:rsidRPr="0021284C">
              <w:rPr>
                <w:rFonts w:ascii="Arial" w:hAnsi="Arial" w:cs="Arial"/>
                <w:color w:val="222222"/>
                <w:szCs w:val="24"/>
              </w:rPr>
              <w:t>olve</w:t>
            </w:r>
            <w:r>
              <w:rPr>
                <w:rFonts w:ascii="Arial" w:hAnsi="Arial" w:cs="Arial"/>
                <w:color w:val="222222"/>
                <w:szCs w:val="24"/>
              </w:rPr>
              <w:t xml:space="preserve">s the narrowing of pavements to improve junctions, particularly on Heath End Road.  This would have implications for pedestrians, particularly people taking children to nearby Glendale Infant </w:t>
            </w:r>
            <w:r>
              <w:rPr>
                <w:rFonts w:ascii="Arial" w:hAnsi="Arial" w:cs="Arial"/>
                <w:color w:val="222222"/>
                <w:szCs w:val="24"/>
              </w:rPr>
              <w:lastRenderedPageBreak/>
              <w:t>School.</w:t>
            </w:r>
          </w:p>
        </w:tc>
        <w:tc>
          <w:tcPr>
            <w:tcW w:w="3142" w:type="dxa"/>
          </w:tcPr>
          <w:p w:rsidR="00470240" w:rsidRDefault="00E94C90" w:rsidP="00FA7967">
            <w:pPr>
              <w:rPr>
                <w:rFonts w:ascii="Arial" w:hAnsi="Arial" w:cs="Arial"/>
              </w:rPr>
            </w:pPr>
            <w:r>
              <w:rPr>
                <w:rFonts w:ascii="Arial" w:hAnsi="Arial" w:cs="Arial"/>
              </w:rPr>
              <w:lastRenderedPageBreak/>
              <w:t xml:space="preserve">The </w:t>
            </w:r>
            <w:r w:rsidR="00F5337B">
              <w:rPr>
                <w:rFonts w:ascii="Arial" w:hAnsi="Arial" w:cs="Arial"/>
              </w:rPr>
              <w:t>c</w:t>
            </w:r>
            <w:r>
              <w:rPr>
                <w:rFonts w:ascii="Arial" w:hAnsi="Arial" w:cs="Arial"/>
              </w:rPr>
              <w:t xml:space="preserve">oncerns of local residents are understood. </w:t>
            </w:r>
          </w:p>
          <w:p w:rsidR="00470240" w:rsidRPr="0021284C" w:rsidRDefault="00470240" w:rsidP="00FA7967">
            <w:pPr>
              <w:rPr>
                <w:rFonts w:ascii="Arial" w:hAnsi="Arial" w:cs="Arial"/>
              </w:rPr>
            </w:pPr>
          </w:p>
        </w:tc>
        <w:tc>
          <w:tcPr>
            <w:tcW w:w="2227" w:type="dxa"/>
          </w:tcPr>
          <w:p w:rsidR="00E94C90" w:rsidRDefault="00E94C90" w:rsidP="00FA7967">
            <w:pPr>
              <w:rPr>
                <w:rFonts w:ascii="Arial" w:hAnsi="Arial" w:cs="Arial"/>
              </w:rPr>
            </w:pPr>
            <w:r>
              <w:rPr>
                <w:rFonts w:ascii="Arial" w:hAnsi="Arial" w:cs="Arial"/>
              </w:rPr>
              <w:t xml:space="preserve">If the scheme is progressed, the issue of narrowed footways will be considered during detailed design, including the provision of pedestrian safety measures. </w:t>
            </w:r>
          </w:p>
          <w:p w:rsidR="00E94C90" w:rsidRDefault="00E94C90" w:rsidP="00FA7967">
            <w:pPr>
              <w:rPr>
                <w:rFonts w:ascii="Arial" w:hAnsi="Arial" w:cs="Arial"/>
              </w:rPr>
            </w:pPr>
          </w:p>
          <w:p w:rsidR="00470240" w:rsidRDefault="00E94C90" w:rsidP="00F5337B">
            <w:pPr>
              <w:rPr>
                <w:rFonts w:cs="Arial"/>
              </w:rPr>
            </w:pPr>
            <w:r>
              <w:rPr>
                <w:rFonts w:ascii="Arial" w:hAnsi="Arial" w:cs="Arial"/>
              </w:rPr>
              <w:lastRenderedPageBreak/>
              <w:t>Detailed design will be subject to a Road Safety Audit (Stage 2).</w:t>
            </w:r>
          </w:p>
        </w:tc>
      </w:tr>
      <w:tr w:rsidR="00F5337B" w:rsidRPr="00546705" w:rsidTr="00470240">
        <w:tc>
          <w:tcPr>
            <w:tcW w:w="3056" w:type="dxa"/>
          </w:tcPr>
          <w:p w:rsidR="00470240" w:rsidRPr="00546705" w:rsidRDefault="00470240" w:rsidP="001336C9">
            <w:pPr>
              <w:ind w:left="317" w:hanging="317"/>
              <w:rPr>
                <w:rFonts w:ascii="Arial" w:hAnsi="Arial" w:cs="Arial"/>
                <w:color w:val="222222"/>
                <w:szCs w:val="24"/>
              </w:rPr>
            </w:pPr>
            <w:r>
              <w:rPr>
                <w:rFonts w:ascii="Arial" w:hAnsi="Arial" w:cs="Arial"/>
                <w:color w:val="222222"/>
                <w:szCs w:val="24"/>
              </w:rPr>
              <w:lastRenderedPageBreak/>
              <w:t xml:space="preserve">6) </w:t>
            </w:r>
            <w:r w:rsidRPr="00546705">
              <w:rPr>
                <w:rFonts w:ascii="Arial" w:hAnsi="Arial" w:cs="Arial"/>
                <w:color w:val="222222"/>
                <w:szCs w:val="24"/>
              </w:rPr>
              <w:t xml:space="preserve">The </w:t>
            </w:r>
            <w:r>
              <w:rPr>
                <w:rFonts w:ascii="Arial" w:hAnsi="Arial" w:cs="Arial"/>
                <w:color w:val="222222"/>
                <w:szCs w:val="24"/>
              </w:rPr>
              <w:t xml:space="preserve">proposed </w:t>
            </w:r>
            <w:r w:rsidRPr="00546705">
              <w:rPr>
                <w:rFonts w:ascii="Arial" w:hAnsi="Arial" w:cs="Arial"/>
                <w:color w:val="222222"/>
                <w:szCs w:val="24"/>
              </w:rPr>
              <w:t>scheme would be detrime</w:t>
            </w:r>
            <w:r>
              <w:rPr>
                <w:rFonts w:ascii="Arial" w:hAnsi="Arial" w:cs="Arial"/>
                <w:color w:val="222222"/>
                <w:szCs w:val="24"/>
              </w:rPr>
              <w:t>ntal to the road</w:t>
            </w:r>
            <w:r w:rsidRPr="00546705">
              <w:rPr>
                <w:rFonts w:ascii="Arial" w:hAnsi="Arial" w:cs="Arial"/>
                <w:color w:val="222222"/>
                <w:szCs w:val="24"/>
              </w:rPr>
              <w:t xml:space="preserve"> safety </w:t>
            </w:r>
            <w:r>
              <w:rPr>
                <w:rFonts w:ascii="Arial" w:hAnsi="Arial" w:cs="Arial"/>
                <w:color w:val="222222"/>
                <w:szCs w:val="24"/>
              </w:rPr>
              <w:t>o</w:t>
            </w:r>
            <w:r w:rsidRPr="00546705">
              <w:rPr>
                <w:rFonts w:ascii="Arial" w:hAnsi="Arial" w:cs="Arial"/>
                <w:color w:val="222222"/>
                <w:szCs w:val="24"/>
              </w:rPr>
              <w:t>f local residents</w:t>
            </w:r>
            <w:r>
              <w:rPr>
                <w:rFonts w:ascii="Arial" w:hAnsi="Arial" w:cs="Arial"/>
                <w:color w:val="222222"/>
                <w:szCs w:val="24"/>
              </w:rPr>
              <w:t xml:space="preserve"> due to the increase in the volume of traffic.  </w:t>
            </w:r>
          </w:p>
        </w:tc>
        <w:tc>
          <w:tcPr>
            <w:tcW w:w="3142" w:type="dxa"/>
          </w:tcPr>
          <w:p w:rsidR="00E94C90" w:rsidRDefault="00E94C90" w:rsidP="00E94C90">
            <w:pPr>
              <w:rPr>
                <w:rFonts w:ascii="Arial" w:hAnsi="Arial" w:cs="Arial"/>
              </w:rPr>
            </w:pPr>
            <w:r>
              <w:rPr>
                <w:rFonts w:ascii="Arial" w:hAnsi="Arial" w:cs="Arial"/>
              </w:rPr>
              <w:t xml:space="preserve">The concerns of local residents are understood. </w:t>
            </w:r>
          </w:p>
          <w:p w:rsidR="00470240" w:rsidRPr="00546705" w:rsidRDefault="00470240" w:rsidP="001336C9">
            <w:pPr>
              <w:rPr>
                <w:rFonts w:ascii="Arial" w:hAnsi="Arial" w:cs="Arial"/>
              </w:rPr>
            </w:pPr>
          </w:p>
        </w:tc>
        <w:tc>
          <w:tcPr>
            <w:tcW w:w="2227" w:type="dxa"/>
          </w:tcPr>
          <w:p w:rsidR="00E94C90" w:rsidRDefault="00E94C90" w:rsidP="00E94C90">
            <w:pPr>
              <w:rPr>
                <w:rFonts w:ascii="Arial" w:hAnsi="Arial" w:cs="Arial"/>
              </w:rPr>
            </w:pPr>
            <w:r>
              <w:rPr>
                <w:rFonts w:ascii="Arial" w:hAnsi="Arial" w:cs="Arial"/>
              </w:rPr>
              <w:t xml:space="preserve">As presented in </w:t>
            </w:r>
            <w:r w:rsidRPr="002428B1">
              <w:rPr>
                <w:rFonts w:ascii="Arial" w:hAnsi="Arial" w:cs="Arial"/>
              </w:rPr>
              <w:t xml:space="preserve">Table </w:t>
            </w:r>
            <w:r w:rsidR="00966675">
              <w:rPr>
                <w:rFonts w:ascii="Arial" w:hAnsi="Arial" w:cs="Arial"/>
              </w:rPr>
              <w:t>1, mitigation measures we</w:t>
            </w:r>
            <w:r>
              <w:rPr>
                <w:rFonts w:ascii="Arial" w:hAnsi="Arial" w:cs="Arial"/>
              </w:rPr>
              <w:t>re already included in the preliminary design proposals</w:t>
            </w:r>
            <w:r w:rsidR="00966675">
              <w:rPr>
                <w:rFonts w:ascii="Arial" w:hAnsi="Arial" w:cs="Arial"/>
              </w:rPr>
              <w:t>, e.g. shared pedestrian / cycle crossings</w:t>
            </w:r>
            <w:r>
              <w:rPr>
                <w:rFonts w:ascii="Arial" w:hAnsi="Arial" w:cs="Arial"/>
              </w:rPr>
              <w:t xml:space="preserve">. </w:t>
            </w:r>
          </w:p>
          <w:p w:rsidR="00E94C90" w:rsidRDefault="00E94C90" w:rsidP="001336C9">
            <w:pPr>
              <w:rPr>
                <w:rFonts w:ascii="Arial" w:hAnsi="Arial" w:cs="Arial"/>
              </w:rPr>
            </w:pPr>
          </w:p>
          <w:p w:rsidR="00470240" w:rsidRDefault="00E94C90" w:rsidP="00966675">
            <w:pPr>
              <w:rPr>
                <w:rFonts w:cs="Arial"/>
              </w:rPr>
            </w:pPr>
            <w:r>
              <w:rPr>
                <w:rFonts w:ascii="Arial" w:hAnsi="Arial" w:cs="Arial"/>
              </w:rPr>
              <w:t xml:space="preserve">As presented in Table 3, further measures will be considered during detailed design phase </w:t>
            </w:r>
            <w:r w:rsidR="00F5337B">
              <w:rPr>
                <w:rFonts w:ascii="Arial" w:hAnsi="Arial" w:cs="Arial"/>
              </w:rPr>
              <w:t xml:space="preserve">aimed at enhancing safety. </w:t>
            </w:r>
          </w:p>
        </w:tc>
      </w:tr>
      <w:tr w:rsidR="00F5337B" w:rsidRPr="00294DD3" w:rsidTr="00470240">
        <w:tc>
          <w:tcPr>
            <w:tcW w:w="3056" w:type="dxa"/>
          </w:tcPr>
          <w:p w:rsidR="00470240" w:rsidRPr="00294DD3" w:rsidRDefault="00470240" w:rsidP="001336C9">
            <w:pPr>
              <w:ind w:left="317" w:hanging="317"/>
              <w:rPr>
                <w:rFonts w:ascii="Arial" w:hAnsi="Arial" w:cs="Arial"/>
                <w:color w:val="222222"/>
                <w:szCs w:val="24"/>
              </w:rPr>
            </w:pPr>
            <w:r>
              <w:br w:type="page"/>
            </w:r>
            <w:r>
              <w:rPr>
                <w:rFonts w:ascii="Arial" w:hAnsi="Arial" w:cs="Arial"/>
                <w:color w:val="222222"/>
                <w:szCs w:val="24"/>
              </w:rPr>
              <w:t xml:space="preserve">7) </w:t>
            </w:r>
            <w:r w:rsidRPr="00294DD3">
              <w:rPr>
                <w:rFonts w:ascii="Arial" w:hAnsi="Arial" w:cs="Arial"/>
                <w:color w:val="222222"/>
                <w:szCs w:val="24"/>
              </w:rPr>
              <w:t>The</w:t>
            </w:r>
            <w:r>
              <w:rPr>
                <w:rFonts w:ascii="Arial" w:hAnsi="Arial" w:cs="Arial"/>
                <w:color w:val="222222"/>
                <w:szCs w:val="24"/>
              </w:rPr>
              <w:t xml:space="preserve"> proposed link route through the Arbury Estate should be considered in preference to this scheme.</w:t>
            </w:r>
          </w:p>
        </w:tc>
        <w:tc>
          <w:tcPr>
            <w:tcW w:w="3142" w:type="dxa"/>
          </w:tcPr>
          <w:p w:rsidR="00533300" w:rsidRDefault="00607BA9" w:rsidP="00533300">
            <w:pPr>
              <w:rPr>
                <w:rFonts w:ascii="Arial" w:hAnsi="Arial" w:cs="Arial"/>
              </w:rPr>
            </w:pPr>
            <w:r>
              <w:rPr>
                <w:rFonts w:ascii="Arial" w:hAnsi="Arial" w:cs="Arial"/>
              </w:rPr>
              <w:t>Even if the whole of the WCC funding for the Bermuda Connectivity Scheme were transferred to the Link Road, it would fall very far short of the amount needed to build the Link Road.</w:t>
            </w:r>
          </w:p>
          <w:p w:rsidR="00533300" w:rsidRPr="00533300" w:rsidRDefault="00533300" w:rsidP="00533300">
            <w:pPr>
              <w:rPr>
                <w:rFonts w:ascii="Arial" w:hAnsi="Arial" w:cs="Arial"/>
              </w:rPr>
            </w:pPr>
          </w:p>
          <w:p w:rsidR="00533300" w:rsidRDefault="00533300" w:rsidP="00533300">
            <w:pPr>
              <w:rPr>
                <w:rFonts w:ascii="Arial" w:hAnsi="Arial" w:cs="Arial"/>
              </w:rPr>
            </w:pPr>
            <w:r w:rsidRPr="00533300">
              <w:rPr>
                <w:rFonts w:ascii="Arial" w:hAnsi="Arial" w:cs="Arial"/>
              </w:rPr>
              <w:t xml:space="preserve">The primary objective of the proposed Link Road is to support any major strategic development on the Arbury Estate land carried forward by a Developer. The proposed </w:t>
            </w:r>
            <w:r w:rsidR="00607BA9">
              <w:rPr>
                <w:rFonts w:ascii="Arial" w:hAnsi="Arial" w:cs="Arial"/>
              </w:rPr>
              <w:t>L</w:t>
            </w:r>
            <w:r w:rsidRPr="00533300">
              <w:rPr>
                <w:rFonts w:ascii="Arial" w:hAnsi="Arial" w:cs="Arial"/>
              </w:rPr>
              <w:t xml:space="preserve">ink </w:t>
            </w:r>
            <w:r w:rsidR="00607BA9">
              <w:rPr>
                <w:rFonts w:ascii="Arial" w:hAnsi="Arial" w:cs="Arial"/>
              </w:rPr>
              <w:t>R</w:t>
            </w:r>
            <w:r w:rsidRPr="00533300">
              <w:rPr>
                <w:rFonts w:ascii="Arial" w:hAnsi="Arial" w:cs="Arial"/>
              </w:rPr>
              <w:t xml:space="preserve">oad </w:t>
            </w:r>
            <w:r w:rsidR="00607BA9">
              <w:rPr>
                <w:rFonts w:ascii="Arial" w:hAnsi="Arial" w:cs="Arial"/>
              </w:rPr>
              <w:t xml:space="preserve">cannot happen without </w:t>
            </w:r>
            <w:r>
              <w:rPr>
                <w:rFonts w:ascii="Arial" w:hAnsi="Arial" w:cs="Arial"/>
              </w:rPr>
              <w:t>D</w:t>
            </w:r>
            <w:r w:rsidRPr="00533300">
              <w:rPr>
                <w:rFonts w:ascii="Arial" w:hAnsi="Arial" w:cs="Arial"/>
              </w:rPr>
              <w:t>eveloper</w:t>
            </w:r>
            <w:r w:rsidR="00A61A4D">
              <w:rPr>
                <w:rFonts w:ascii="Arial" w:hAnsi="Arial" w:cs="Arial"/>
              </w:rPr>
              <w:t xml:space="preserve"> funding</w:t>
            </w:r>
            <w:r w:rsidRPr="00533300">
              <w:rPr>
                <w:rFonts w:ascii="Arial" w:hAnsi="Arial" w:cs="Arial"/>
              </w:rPr>
              <w:t>.</w:t>
            </w:r>
          </w:p>
          <w:p w:rsidR="00533300" w:rsidRPr="00533300" w:rsidRDefault="00533300" w:rsidP="00533300">
            <w:pPr>
              <w:rPr>
                <w:rFonts w:ascii="Arial" w:hAnsi="Arial" w:cs="Arial"/>
              </w:rPr>
            </w:pPr>
          </w:p>
          <w:p w:rsidR="00533300" w:rsidRDefault="00533300" w:rsidP="00533300">
            <w:pPr>
              <w:rPr>
                <w:rFonts w:ascii="Arial" w:hAnsi="Arial" w:cs="Arial"/>
              </w:rPr>
            </w:pPr>
            <w:r w:rsidRPr="00533300">
              <w:rPr>
                <w:rFonts w:ascii="Arial" w:hAnsi="Arial" w:cs="Arial"/>
              </w:rPr>
              <w:t>The Link Road has been suggested for a number of years.  In that period, no Developer has come forward to progress the proposal.  It is highly likely this will remain t</w:t>
            </w:r>
            <w:r>
              <w:rPr>
                <w:rFonts w:ascii="Arial" w:hAnsi="Arial" w:cs="Arial"/>
              </w:rPr>
              <w:t>he case for some time.  Whereas</w:t>
            </w:r>
            <w:r w:rsidRPr="00533300">
              <w:rPr>
                <w:rFonts w:ascii="Arial" w:hAnsi="Arial" w:cs="Arial"/>
              </w:rPr>
              <w:t xml:space="preserve">, the County Council wishes to act now to address traffic </w:t>
            </w:r>
            <w:r w:rsidRPr="00533300">
              <w:rPr>
                <w:rFonts w:ascii="Arial" w:hAnsi="Arial" w:cs="Arial"/>
              </w:rPr>
              <w:lastRenderedPageBreak/>
              <w:t>congestion issues in the West Nuneaton area.</w:t>
            </w:r>
          </w:p>
          <w:p w:rsidR="00A61A4D" w:rsidRPr="00533300" w:rsidRDefault="00A61A4D" w:rsidP="00533300">
            <w:pPr>
              <w:rPr>
                <w:rFonts w:ascii="Arial" w:hAnsi="Arial" w:cs="Arial"/>
              </w:rPr>
            </w:pPr>
            <w:r>
              <w:rPr>
                <w:rFonts w:ascii="Arial" w:hAnsi="Arial" w:cs="Arial"/>
              </w:rPr>
              <w:t>If the Link Road is eventually implemented, it will provide relief to the wider area as well as the development it would serve.  However, those wider benefits are heavily dependent on the Bermuda Co</w:t>
            </w:r>
            <w:r w:rsidR="0018562F">
              <w:rPr>
                <w:rFonts w:ascii="Arial" w:hAnsi="Arial" w:cs="Arial"/>
              </w:rPr>
              <w:t>nn</w:t>
            </w:r>
            <w:r>
              <w:rPr>
                <w:rFonts w:ascii="Arial" w:hAnsi="Arial" w:cs="Arial"/>
              </w:rPr>
              <w:t>ectivity Scheme having been carried out.  By contrast, the Connectivity Scheme will deliver its calculated BCR even if the Link Road is not built.</w:t>
            </w:r>
          </w:p>
          <w:p w:rsidR="00533300" w:rsidRDefault="00533300" w:rsidP="00637FD5">
            <w:pPr>
              <w:rPr>
                <w:rFonts w:ascii="Arial" w:hAnsi="Arial" w:cs="Arial"/>
              </w:rPr>
            </w:pPr>
          </w:p>
          <w:p w:rsidR="00470240" w:rsidRPr="00294DD3" w:rsidRDefault="00533300" w:rsidP="00637FD5">
            <w:pPr>
              <w:rPr>
                <w:rFonts w:ascii="Arial" w:hAnsi="Arial" w:cs="Arial"/>
              </w:rPr>
            </w:pPr>
            <w:r w:rsidRPr="00533300">
              <w:rPr>
                <w:rFonts w:ascii="Arial" w:hAnsi="Arial" w:cs="Arial"/>
              </w:rPr>
              <w:t>Therefore, the Arbury Estate Link Road is not a viable alternative to the Getting West Nuneaton Moving: Bermuda Connection scheme.</w:t>
            </w:r>
          </w:p>
        </w:tc>
        <w:tc>
          <w:tcPr>
            <w:tcW w:w="2227" w:type="dxa"/>
          </w:tcPr>
          <w:p w:rsidR="00470240" w:rsidRDefault="007E685A" w:rsidP="001336C9">
            <w:pPr>
              <w:rPr>
                <w:rFonts w:cs="Arial"/>
              </w:rPr>
            </w:pPr>
            <w:r w:rsidRPr="00D065BE">
              <w:rPr>
                <w:rFonts w:ascii="Arial" w:hAnsi="Arial" w:cs="Arial"/>
              </w:rPr>
              <w:lastRenderedPageBreak/>
              <w:t>No action taken.</w:t>
            </w:r>
          </w:p>
        </w:tc>
      </w:tr>
      <w:tr w:rsidR="00F5337B" w:rsidRPr="00294DD3" w:rsidTr="00470240">
        <w:tc>
          <w:tcPr>
            <w:tcW w:w="3056" w:type="dxa"/>
          </w:tcPr>
          <w:p w:rsidR="00470240" w:rsidRPr="00432A2C" w:rsidRDefault="00470240" w:rsidP="001336C9">
            <w:pPr>
              <w:ind w:left="317" w:hanging="317"/>
              <w:rPr>
                <w:rFonts w:ascii="Arial" w:hAnsi="Arial" w:cs="Arial"/>
                <w:color w:val="222222"/>
                <w:szCs w:val="24"/>
              </w:rPr>
            </w:pPr>
            <w:r>
              <w:rPr>
                <w:rFonts w:ascii="Arial" w:hAnsi="Arial" w:cs="Arial"/>
                <w:color w:val="222222"/>
                <w:szCs w:val="24"/>
              </w:rPr>
              <w:lastRenderedPageBreak/>
              <w:t xml:space="preserve">8) </w:t>
            </w:r>
            <w:r w:rsidRPr="00432A2C">
              <w:rPr>
                <w:rFonts w:ascii="Arial" w:hAnsi="Arial" w:cs="Arial"/>
                <w:color w:val="222222"/>
                <w:szCs w:val="24"/>
              </w:rPr>
              <w:t xml:space="preserve">Bermuda Bridge </w:t>
            </w:r>
            <w:r>
              <w:rPr>
                <w:rFonts w:ascii="Arial" w:hAnsi="Arial" w:cs="Arial"/>
                <w:color w:val="222222"/>
                <w:szCs w:val="24"/>
              </w:rPr>
              <w:t>is not fit for purpose in terms of the proposed scheme</w:t>
            </w:r>
          </w:p>
        </w:tc>
        <w:tc>
          <w:tcPr>
            <w:tcW w:w="3142" w:type="dxa"/>
          </w:tcPr>
          <w:p w:rsidR="00470240" w:rsidRPr="00432A2C" w:rsidRDefault="00470240" w:rsidP="00F5337B">
            <w:pPr>
              <w:rPr>
                <w:rFonts w:ascii="Arial" w:hAnsi="Arial" w:cs="Arial"/>
              </w:rPr>
            </w:pPr>
            <w:r w:rsidRPr="00432A2C">
              <w:rPr>
                <w:rFonts w:ascii="Arial" w:hAnsi="Arial" w:cs="Arial"/>
              </w:rPr>
              <w:t xml:space="preserve">The bridge </w:t>
            </w:r>
            <w:r>
              <w:rPr>
                <w:rFonts w:ascii="Arial" w:hAnsi="Arial" w:cs="Arial"/>
              </w:rPr>
              <w:t>was designed to accommodate two-way traffic, and the structure passed a</w:t>
            </w:r>
            <w:r w:rsidRPr="00E05A30">
              <w:rPr>
                <w:rFonts w:ascii="Arial" w:hAnsi="Arial" w:cs="Arial"/>
              </w:rPr>
              <w:t xml:space="preserve"> </w:t>
            </w:r>
            <w:r w:rsidRPr="00E05A30">
              <w:rPr>
                <w:rFonts w:ascii="Arial" w:hAnsi="Arial" w:cs="Arial"/>
                <w:bCs/>
              </w:rPr>
              <w:t>40</w:t>
            </w:r>
            <w:r w:rsidR="009E4E4C">
              <w:rPr>
                <w:rFonts w:ascii="Arial" w:hAnsi="Arial" w:cs="Arial"/>
                <w:bCs/>
              </w:rPr>
              <w:t xml:space="preserve"> </w:t>
            </w:r>
            <w:r w:rsidRPr="00E05A30">
              <w:rPr>
                <w:rFonts w:ascii="Arial" w:hAnsi="Arial" w:cs="Arial"/>
                <w:bCs/>
              </w:rPr>
              <w:t>tonne assessment in 1994.</w:t>
            </w:r>
            <w:r w:rsidRPr="00E05A30">
              <w:rPr>
                <w:rFonts w:ascii="Arial" w:hAnsi="Arial" w:cs="Arial"/>
              </w:rPr>
              <w:t xml:space="preserve"> </w:t>
            </w:r>
          </w:p>
        </w:tc>
        <w:tc>
          <w:tcPr>
            <w:tcW w:w="2227" w:type="dxa"/>
          </w:tcPr>
          <w:p w:rsidR="00470240" w:rsidRPr="00432A2C" w:rsidRDefault="00F5337B" w:rsidP="001336C9">
            <w:pPr>
              <w:rPr>
                <w:rFonts w:cs="Arial"/>
              </w:rPr>
            </w:pPr>
            <w:r>
              <w:rPr>
                <w:rFonts w:ascii="Arial" w:hAnsi="Arial" w:cs="Arial"/>
              </w:rPr>
              <w:t>If the scheme is progressed, detailed design would include improvement and refurbishment work to Bermuda Bridge, in order to ensure that it complies with current Highway standards.</w:t>
            </w:r>
          </w:p>
        </w:tc>
      </w:tr>
      <w:tr w:rsidR="00F5337B" w:rsidRPr="00294DD3" w:rsidTr="00470240">
        <w:tc>
          <w:tcPr>
            <w:tcW w:w="3056" w:type="dxa"/>
          </w:tcPr>
          <w:p w:rsidR="00470240" w:rsidRPr="00D12484" w:rsidRDefault="00470240" w:rsidP="001336C9">
            <w:pPr>
              <w:ind w:left="317" w:hanging="317"/>
              <w:rPr>
                <w:rFonts w:ascii="Arial" w:hAnsi="Arial" w:cs="Arial"/>
                <w:color w:val="222222"/>
                <w:szCs w:val="24"/>
              </w:rPr>
            </w:pPr>
            <w:r>
              <w:rPr>
                <w:rFonts w:ascii="Arial" w:hAnsi="Arial" w:cs="Arial"/>
                <w:color w:val="222222"/>
                <w:szCs w:val="24"/>
              </w:rPr>
              <w:t xml:space="preserve">9) </w:t>
            </w:r>
            <w:r w:rsidRPr="00D12484">
              <w:rPr>
                <w:rFonts w:ascii="Arial" w:hAnsi="Arial" w:cs="Arial"/>
                <w:color w:val="222222"/>
                <w:szCs w:val="24"/>
              </w:rPr>
              <w:t>Implementing a scheme of traffic alleviation that channels A-road traffic through a residential area is unprecedented.  The Rugby Western Relief Road is furnished as an example of successful traffic alleviation. The question is raised – does not Nuneaton warrant the same?</w:t>
            </w:r>
          </w:p>
        </w:tc>
        <w:tc>
          <w:tcPr>
            <w:tcW w:w="3142" w:type="dxa"/>
          </w:tcPr>
          <w:p w:rsidR="00470240" w:rsidRDefault="00470240" w:rsidP="001336C9">
            <w:pPr>
              <w:rPr>
                <w:rFonts w:ascii="Arial" w:hAnsi="Arial" w:cs="Arial"/>
              </w:rPr>
            </w:pPr>
            <w:r>
              <w:rPr>
                <w:rFonts w:ascii="Arial" w:hAnsi="Arial" w:cs="Arial"/>
              </w:rPr>
              <w:t xml:space="preserve">The predicted volume of traffic utilising the link route would be well below the levels using the A444 according to the </w:t>
            </w:r>
          </w:p>
          <w:p w:rsidR="00470240" w:rsidRDefault="00470240" w:rsidP="001336C9">
            <w:pPr>
              <w:rPr>
                <w:rFonts w:ascii="Arial" w:hAnsi="Arial" w:cs="Arial"/>
              </w:rPr>
            </w:pPr>
            <w:r>
              <w:rPr>
                <w:rFonts w:ascii="Arial" w:hAnsi="Arial" w:cs="Arial"/>
              </w:rPr>
              <w:t xml:space="preserve">WCC Nuneaton and Bedworth Borough Wide Area </w:t>
            </w:r>
            <w:proofErr w:type="spellStart"/>
            <w:r>
              <w:rPr>
                <w:rFonts w:ascii="Arial" w:hAnsi="Arial" w:cs="Arial"/>
              </w:rPr>
              <w:t>Paramics</w:t>
            </w:r>
            <w:proofErr w:type="spellEnd"/>
            <w:r>
              <w:rPr>
                <w:rFonts w:ascii="Arial" w:hAnsi="Arial" w:cs="Arial"/>
              </w:rPr>
              <w:t xml:space="preserve"> Traffic Model – Opening Year 2018.</w:t>
            </w:r>
          </w:p>
          <w:p w:rsidR="00470240" w:rsidRDefault="00470240" w:rsidP="001336C9">
            <w:pPr>
              <w:rPr>
                <w:rFonts w:ascii="Arial" w:hAnsi="Arial" w:cs="Arial"/>
              </w:rPr>
            </w:pPr>
          </w:p>
          <w:p w:rsidR="00470240" w:rsidRDefault="00470240" w:rsidP="001336C9">
            <w:pPr>
              <w:rPr>
                <w:rFonts w:ascii="Arial" w:hAnsi="Arial" w:cs="Arial"/>
                <w:color w:val="222222"/>
                <w:szCs w:val="24"/>
              </w:rPr>
            </w:pPr>
            <w:r>
              <w:rPr>
                <w:rFonts w:ascii="Arial" w:hAnsi="Arial" w:cs="Arial"/>
              </w:rPr>
              <w:t xml:space="preserve">For example, the Traffic Model predicts that only 16.5% (around 525 </w:t>
            </w:r>
            <w:r>
              <w:rPr>
                <w:rFonts w:ascii="Arial" w:hAnsi="Arial" w:cs="Arial"/>
              </w:rPr>
              <w:lastRenderedPageBreak/>
              <w:t xml:space="preserve">vehicles) of the traffic along the A444 would </w:t>
            </w:r>
            <w:r w:rsidRPr="004F1420">
              <w:rPr>
                <w:rFonts w:ascii="Arial" w:hAnsi="Arial" w:cs="Arial"/>
                <w:color w:val="222222"/>
                <w:szCs w:val="24"/>
              </w:rPr>
              <w:t>divert</w:t>
            </w:r>
            <w:r>
              <w:rPr>
                <w:rFonts w:ascii="Arial" w:hAnsi="Arial" w:cs="Arial"/>
                <w:color w:val="222222"/>
                <w:szCs w:val="24"/>
              </w:rPr>
              <w:t xml:space="preserve"> to use the additional link over the bridge during the AM Peak and only 14.5% during the PM peak (around 340 vehicles). </w:t>
            </w:r>
          </w:p>
          <w:p w:rsidR="00470240" w:rsidRDefault="00470240" w:rsidP="001336C9">
            <w:pPr>
              <w:shd w:val="clear" w:color="auto" w:fill="FFFFFF"/>
              <w:rPr>
                <w:rFonts w:ascii="Arial" w:hAnsi="Arial" w:cs="Arial"/>
              </w:rPr>
            </w:pPr>
          </w:p>
          <w:p w:rsidR="00470240" w:rsidRDefault="00470240" w:rsidP="001336C9">
            <w:pPr>
              <w:shd w:val="clear" w:color="auto" w:fill="FFFFFF"/>
              <w:rPr>
                <w:rFonts w:ascii="Arial" w:hAnsi="Arial" w:cs="Arial"/>
              </w:rPr>
            </w:pPr>
            <w:r>
              <w:rPr>
                <w:rFonts w:ascii="Arial" w:hAnsi="Arial" w:cs="Arial"/>
              </w:rPr>
              <w:t xml:space="preserve">The potential Arbury Estate Link Road will provide Nuneaton with a form of Western Relief Road should it be progressed </w:t>
            </w:r>
            <w:r w:rsidR="004D61CF">
              <w:rPr>
                <w:rFonts w:ascii="Arial" w:hAnsi="Arial" w:cs="Arial"/>
              </w:rPr>
              <w:t xml:space="preserve">and funded </w:t>
            </w:r>
            <w:r>
              <w:rPr>
                <w:rFonts w:ascii="Arial" w:hAnsi="Arial" w:cs="Arial"/>
              </w:rPr>
              <w:t>by a Developer.</w:t>
            </w:r>
          </w:p>
          <w:p w:rsidR="004D61CF" w:rsidRPr="00D12484" w:rsidRDefault="00CD0CBF" w:rsidP="001336C9">
            <w:pPr>
              <w:shd w:val="clear" w:color="auto" w:fill="FFFFFF"/>
              <w:rPr>
                <w:rFonts w:ascii="Arial" w:hAnsi="Arial" w:cs="Arial"/>
              </w:rPr>
            </w:pPr>
            <w:r>
              <w:rPr>
                <w:rFonts w:ascii="Arial" w:hAnsi="Arial" w:cs="Arial"/>
              </w:rPr>
              <w:t>However, t</w:t>
            </w:r>
            <w:r w:rsidR="004D61CF">
              <w:rPr>
                <w:rFonts w:ascii="Arial" w:hAnsi="Arial" w:cs="Arial"/>
              </w:rPr>
              <w:t>he Bermuda Connection scheme can be delivered without the need for developer contribution and would provide a substantial level of benefits for the wider community.</w:t>
            </w:r>
          </w:p>
        </w:tc>
        <w:tc>
          <w:tcPr>
            <w:tcW w:w="2227" w:type="dxa"/>
          </w:tcPr>
          <w:p w:rsidR="00470240" w:rsidRDefault="007E685A" w:rsidP="001336C9">
            <w:pPr>
              <w:rPr>
                <w:rFonts w:cs="Arial"/>
              </w:rPr>
            </w:pPr>
            <w:r w:rsidRPr="00D065BE">
              <w:rPr>
                <w:rFonts w:ascii="Arial" w:hAnsi="Arial" w:cs="Arial"/>
              </w:rPr>
              <w:lastRenderedPageBreak/>
              <w:t>No action taken.</w:t>
            </w:r>
          </w:p>
        </w:tc>
      </w:tr>
      <w:tr w:rsidR="00F5337B" w:rsidRPr="00294DD3" w:rsidTr="00470240">
        <w:tc>
          <w:tcPr>
            <w:tcW w:w="3056" w:type="dxa"/>
          </w:tcPr>
          <w:p w:rsidR="00470240" w:rsidRPr="00587D2D" w:rsidRDefault="00470240" w:rsidP="00CA746A">
            <w:pPr>
              <w:ind w:left="459" w:hanging="459"/>
              <w:rPr>
                <w:rFonts w:ascii="Arial" w:hAnsi="Arial" w:cs="Arial"/>
                <w:color w:val="222222"/>
                <w:szCs w:val="24"/>
              </w:rPr>
            </w:pPr>
            <w:r>
              <w:rPr>
                <w:rFonts w:ascii="Arial" w:hAnsi="Arial" w:cs="Arial"/>
                <w:color w:val="222222"/>
                <w:szCs w:val="24"/>
              </w:rPr>
              <w:lastRenderedPageBreak/>
              <w:t xml:space="preserve">10)  </w:t>
            </w:r>
            <w:r w:rsidRPr="00587D2D">
              <w:rPr>
                <w:rFonts w:ascii="Arial" w:hAnsi="Arial" w:cs="Arial"/>
                <w:color w:val="222222"/>
                <w:szCs w:val="24"/>
              </w:rPr>
              <w:t xml:space="preserve">Insufficient space at key junctions </w:t>
            </w:r>
            <w:r w:rsidR="00CA746A">
              <w:rPr>
                <w:rFonts w:ascii="Arial" w:hAnsi="Arial" w:cs="Arial"/>
                <w:color w:val="222222"/>
                <w:szCs w:val="24"/>
              </w:rPr>
              <w:t>to</w:t>
            </w:r>
            <w:r w:rsidRPr="00587D2D">
              <w:rPr>
                <w:rFonts w:ascii="Arial" w:hAnsi="Arial" w:cs="Arial"/>
                <w:color w:val="222222"/>
                <w:szCs w:val="24"/>
              </w:rPr>
              <w:t xml:space="preserve"> </w:t>
            </w:r>
            <w:r>
              <w:rPr>
                <w:rFonts w:ascii="Arial" w:hAnsi="Arial" w:cs="Arial"/>
                <w:color w:val="222222"/>
                <w:szCs w:val="24"/>
              </w:rPr>
              <w:t>enable</w:t>
            </w:r>
            <w:r w:rsidRPr="00587D2D">
              <w:rPr>
                <w:rFonts w:ascii="Arial" w:hAnsi="Arial" w:cs="Arial"/>
                <w:color w:val="222222"/>
                <w:szCs w:val="24"/>
              </w:rPr>
              <w:t xml:space="preserve"> large vehicles to </w:t>
            </w:r>
            <w:r>
              <w:rPr>
                <w:rFonts w:ascii="Arial" w:hAnsi="Arial" w:cs="Arial"/>
                <w:color w:val="222222"/>
                <w:szCs w:val="24"/>
              </w:rPr>
              <w:t xml:space="preserve">undertake turning </w:t>
            </w:r>
            <w:r w:rsidRPr="00587D2D">
              <w:rPr>
                <w:rFonts w:ascii="Arial" w:hAnsi="Arial" w:cs="Arial"/>
                <w:color w:val="222222"/>
                <w:szCs w:val="24"/>
              </w:rPr>
              <w:t>manoeuvre</w:t>
            </w:r>
            <w:r>
              <w:rPr>
                <w:rFonts w:ascii="Arial" w:hAnsi="Arial" w:cs="Arial"/>
                <w:color w:val="222222"/>
                <w:szCs w:val="24"/>
              </w:rPr>
              <w:t>s safely</w:t>
            </w:r>
            <w:r w:rsidRPr="00587D2D">
              <w:rPr>
                <w:rFonts w:ascii="Arial" w:hAnsi="Arial" w:cs="Arial"/>
                <w:color w:val="222222"/>
                <w:szCs w:val="24"/>
              </w:rPr>
              <w:t xml:space="preserve">, e.g. Heath End Road / Bermuda Road </w:t>
            </w:r>
          </w:p>
        </w:tc>
        <w:tc>
          <w:tcPr>
            <w:tcW w:w="3142" w:type="dxa"/>
          </w:tcPr>
          <w:p w:rsidR="00470240" w:rsidRDefault="00470240" w:rsidP="001336C9">
            <w:pPr>
              <w:rPr>
                <w:rFonts w:ascii="Arial" w:hAnsi="Arial" w:cs="Arial"/>
              </w:rPr>
            </w:pPr>
            <w:r>
              <w:rPr>
                <w:rFonts w:ascii="Arial" w:hAnsi="Arial" w:cs="Arial"/>
              </w:rPr>
              <w:t xml:space="preserve">Preliminary design included widening the carriageway at key junctions and setting back stop </w:t>
            </w:r>
            <w:r w:rsidRPr="00587D2D">
              <w:rPr>
                <w:rFonts w:ascii="Arial" w:hAnsi="Arial" w:cs="Arial"/>
              </w:rPr>
              <w:t xml:space="preserve">lines </w:t>
            </w:r>
            <w:r>
              <w:rPr>
                <w:rFonts w:ascii="Arial" w:hAnsi="Arial" w:cs="Arial"/>
              </w:rPr>
              <w:t xml:space="preserve">in order to </w:t>
            </w:r>
            <w:r w:rsidR="007E685A">
              <w:rPr>
                <w:rFonts w:ascii="Arial" w:hAnsi="Arial" w:cs="Arial"/>
              </w:rPr>
              <w:t xml:space="preserve">accommodate </w:t>
            </w:r>
            <w:r w:rsidRPr="00587D2D">
              <w:rPr>
                <w:rFonts w:ascii="Arial" w:hAnsi="Arial" w:cs="Arial"/>
              </w:rPr>
              <w:t>HGV movements.</w:t>
            </w:r>
          </w:p>
          <w:p w:rsidR="00470240" w:rsidRDefault="00470240" w:rsidP="001336C9">
            <w:pPr>
              <w:rPr>
                <w:rFonts w:ascii="Arial" w:hAnsi="Arial" w:cs="Arial"/>
              </w:rPr>
            </w:pPr>
          </w:p>
          <w:p w:rsidR="00470240" w:rsidRDefault="00470240" w:rsidP="001336C9">
            <w:pPr>
              <w:rPr>
                <w:rFonts w:ascii="Arial" w:hAnsi="Arial" w:cs="Arial"/>
              </w:rPr>
            </w:pPr>
            <w:r>
              <w:rPr>
                <w:rFonts w:ascii="Arial" w:hAnsi="Arial" w:cs="Arial"/>
              </w:rPr>
              <w:t xml:space="preserve">HGV movements were tested on the preliminary layout of the junction improvements using software.  </w:t>
            </w:r>
          </w:p>
          <w:p w:rsidR="00470240" w:rsidRDefault="00470240" w:rsidP="001336C9">
            <w:pPr>
              <w:rPr>
                <w:rFonts w:ascii="Arial" w:hAnsi="Arial" w:cs="Arial"/>
              </w:rPr>
            </w:pPr>
          </w:p>
          <w:p w:rsidR="00470240" w:rsidRPr="00587D2D" w:rsidRDefault="00470240" w:rsidP="00572FAA">
            <w:pPr>
              <w:rPr>
                <w:rFonts w:ascii="Arial" w:hAnsi="Arial" w:cs="Arial"/>
              </w:rPr>
            </w:pPr>
          </w:p>
        </w:tc>
        <w:tc>
          <w:tcPr>
            <w:tcW w:w="2227" w:type="dxa"/>
          </w:tcPr>
          <w:p w:rsidR="00470240" w:rsidRDefault="007E685A" w:rsidP="001336C9">
            <w:pPr>
              <w:rPr>
                <w:rFonts w:ascii="Arial" w:hAnsi="Arial" w:cs="Arial"/>
              </w:rPr>
            </w:pPr>
            <w:r>
              <w:rPr>
                <w:rFonts w:ascii="Arial" w:hAnsi="Arial" w:cs="Arial"/>
              </w:rPr>
              <w:t>If the scheme is progressed, detailed design would include Topographical Surveys to further steer the design of the junction improvements.</w:t>
            </w:r>
          </w:p>
          <w:p w:rsidR="007E685A" w:rsidRDefault="007E685A" w:rsidP="001336C9">
            <w:pPr>
              <w:rPr>
                <w:rFonts w:ascii="Arial" w:hAnsi="Arial" w:cs="Arial"/>
              </w:rPr>
            </w:pPr>
          </w:p>
          <w:p w:rsidR="007E685A" w:rsidRDefault="007E685A" w:rsidP="007E685A">
            <w:pPr>
              <w:rPr>
                <w:rFonts w:cs="Arial"/>
              </w:rPr>
            </w:pPr>
            <w:r>
              <w:rPr>
                <w:rFonts w:ascii="Arial" w:hAnsi="Arial" w:cs="Arial"/>
              </w:rPr>
              <w:t xml:space="preserve">Further vehicle swept path analysis testing will also be undertaken.  </w:t>
            </w:r>
          </w:p>
        </w:tc>
      </w:tr>
    </w:tbl>
    <w:p w:rsidR="00404031" w:rsidRDefault="00404031">
      <w:pPr>
        <w:rPr>
          <w:b/>
        </w:rPr>
      </w:pPr>
    </w:p>
    <w:p w:rsidR="00747146" w:rsidRDefault="00747146">
      <w:pPr>
        <w:rPr>
          <w:b/>
        </w:rPr>
      </w:pPr>
    </w:p>
    <w:p w:rsidR="00747146" w:rsidRDefault="00157FD7">
      <w:pPr>
        <w:rPr>
          <w:b/>
        </w:rPr>
      </w:pPr>
      <w:r>
        <w:rPr>
          <w:b/>
        </w:rPr>
        <w:t>Part 2:  Submissions by Bermuda Bridge Action Group</w:t>
      </w:r>
    </w:p>
    <w:p w:rsidR="00157FD7" w:rsidRDefault="00157FD7">
      <w:pPr>
        <w:rPr>
          <w:b/>
        </w:rPr>
      </w:pPr>
    </w:p>
    <w:p w:rsidR="00157FD7" w:rsidRDefault="00157FD7" w:rsidP="00157FD7">
      <w:r>
        <w:t>The submissions run to 117 pages, accompanied by 43 technical drawings, but are summarised on the Response Form:</w:t>
      </w:r>
    </w:p>
    <w:p w:rsidR="00157FD7" w:rsidRDefault="00157FD7" w:rsidP="00157FD7"/>
    <w:p w:rsidR="00157FD7" w:rsidRDefault="00157FD7" w:rsidP="00157FD7">
      <w:pPr>
        <w:pStyle w:val="ListParagraph"/>
        <w:numPr>
          <w:ilvl w:val="0"/>
          <w:numId w:val="34"/>
        </w:numPr>
        <w:ind w:left="0" w:firstLine="0"/>
      </w:pPr>
      <w:r>
        <w:t>stop the scheme</w:t>
      </w:r>
    </w:p>
    <w:p w:rsidR="00157FD7" w:rsidRDefault="00157FD7" w:rsidP="00157FD7">
      <w:pPr>
        <w:pStyle w:val="ListParagraph"/>
        <w:numPr>
          <w:ilvl w:val="0"/>
          <w:numId w:val="34"/>
        </w:numPr>
        <w:ind w:left="0" w:firstLine="0"/>
      </w:pPr>
      <w:r>
        <w:t>invest in the A444 upgrade instead</w:t>
      </w:r>
    </w:p>
    <w:p w:rsidR="00157FD7" w:rsidRDefault="00157FD7" w:rsidP="00157FD7">
      <w:pPr>
        <w:pStyle w:val="ListParagraph"/>
        <w:numPr>
          <w:ilvl w:val="0"/>
          <w:numId w:val="34"/>
        </w:numPr>
        <w:ind w:left="0" w:firstLine="0"/>
      </w:pPr>
      <w:proofErr w:type="gramStart"/>
      <w:r>
        <w:t>save</w:t>
      </w:r>
      <w:proofErr w:type="gramEnd"/>
      <w:r>
        <w:t xml:space="preserve"> public money being wasted.</w:t>
      </w:r>
    </w:p>
    <w:p w:rsidR="00157FD7" w:rsidRDefault="00157FD7" w:rsidP="00157FD7"/>
    <w:p w:rsidR="00157FD7" w:rsidRDefault="00157FD7" w:rsidP="00157FD7">
      <w:r>
        <w:t xml:space="preserve">The detailed submissions will be made available to Members.  They review the design and safety of individual elements of the scheme and assess their impacts.  </w:t>
      </w:r>
      <w:r>
        <w:lastRenderedPageBreak/>
        <w:t xml:space="preserve">The cost of the consultation version of the scheme is estimated by the BBAG at £6,451,491 to which they add an "optimism bias" of 44%.  </w:t>
      </w:r>
      <w:r w:rsidR="00832835">
        <w:t xml:space="preserve">The </w:t>
      </w:r>
      <w:r>
        <w:t xml:space="preserve">"Essential Objections" </w:t>
      </w:r>
      <w:r w:rsidR="00832835">
        <w:t xml:space="preserve">set out in the submissions </w:t>
      </w:r>
      <w:r w:rsidR="008E1B83">
        <w:t xml:space="preserve">are </w:t>
      </w:r>
      <w:r w:rsidR="00FE04E4">
        <w:t>reproduced below.</w:t>
      </w:r>
      <w:r>
        <w:t xml:space="preserve"> </w:t>
      </w:r>
    </w:p>
    <w:p w:rsidR="00157FD7" w:rsidRDefault="00157FD7" w:rsidP="00157FD7"/>
    <w:p w:rsidR="00157FD7" w:rsidRDefault="00157FD7" w:rsidP="00157FD7">
      <w:r>
        <w:t>The BBAG submissions also criticise the adequacy and accuracy of information and analysis used in the business case and provided to the public for the purpose of consultation.  A member of the BBAG (with expertise in transport planning) has also corresponded with officers regarding perceived shortcomings in the evidence and analysis.  Examples of the points made are that:</w:t>
      </w:r>
    </w:p>
    <w:p w:rsidR="00157FD7" w:rsidRDefault="00157FD7" w:rsidP="00157FD7"/>
    <w:p w:rsidR="00157FD7" w:rsidRDefault="00157FD7" w:rsidP="00157FD7">
      <w:pPr>
        <w:pStyle w:val="ListParagraph"/>
        <w:numPr>
          <w:ilvl w:val="0"/>
          <w:numId w:val="35"/>
        </w:numPr>
        <w:ind w:left="709" w:hanging="709"/>
      </w:pPr>
      <w:r>
        <w:t>alternative schemes have not been assessed</w:t>
      </w:r>
    </w:p>
    <w:p w:rsidR="00157FD7" w:rsidRDefault="00157FD7" w:rsidP="00157FD7">
      <w:pPr>
        <w:pStyle w:val="ListParagraph"/>
        <w:numPr>
          <w:ilvl w:val="0"/>
          <w:numId w:val="35"/>
        </w:numPr>
        <w:ind w:left="709" w:hanging="709"/>
      </w:pPr>
      <w:r>
        <w:t>traffic modelling should be undertaken for later years</w:t>
      </w:r>
    </w:p>
    <w:p w:rsidR="00157FD7" w:rsidRDefault="00157FD7" w:rsidP="00157FD7">
      <w:pPr>
        <w:pStyle w:val="ListParagraph"/>
        <w:numPr>
          <w:ilvl w:val="0"/>
          <w:numId w:val="35"/>
        </w:numPr>
        <w:ind w:left="709" w:hanging="709"/>
      </w:pPr>
      <w:r>
        <w:t>traffic modelling is based on the original and not the consultation scheme despite changes in junction designs</w:t>
      </w:r>
    </w:p>
    <w:p w:rsidR="00157FD7" w:rsidRDefault="00157FD7" w:rsidP="00157FD7">
      <w:pPr>
        <w:pStyle w:val="ListParagraph"/>
        <w:numPr>
          <w:ilvl w:val="0"/>
          <w:numId w:val="35"/>
        </w:numPr>
        <w:ind w:left="709" w:hanging="709"/>
      </w:pPr>
      <w:r>
        <w:t>the cost estimate is based on the original scheme</w:t>
      </w:r>
    </w:p>
    <w:p w:rsidR="00157FD7" w:rsidRDefault="00157FD7" w:rsidP="00157FD7">
      <w:pPr>
        <w:pStyle w:val="ListParagraph"/>
        <w:numPr>
          <w:ilvl w:val="0"/>
          <w:numId w:val="35"/>
        </w:numPr>
        <w:ind w:left="709" w:hanging="709"/>
      </w:pPr>
      <w:r>
        <w:t>the assessment</w:t>
      </w:r>
      <w:r w:rsidR="00C74098">
        <w:t>s</w:t>
      </w:r>
      <w:r>
        <w:t xml:space="preserve"> of environmental impacts (such as noise and air pollution) are too high level</w:t>
      </w:r>
    </w:p>
    <w:p w:rsidR="00157FD7" w:rsidRDefault="00157FD7" w:rsidP="00157FD7">
      <w:pPr>
        <w:pStyle w:val="ListParagraph"/>
        <w:numPr>
          <w:ilvl w:val="0"/>
          <w:numId w:val="35"/>
        </w:numPr>
        <w:ind w:left="709" w:hanging="709"/>
      </w:pPr>
      <w:proofErr w:type="gramStart"/>
      <w:r>
        <w:t>impacts</w:t>
      </w:r>
      <w:proofErr w:type="gramEnd"/>
      <w:r>
        <w:t xml:space="preserve"> such as rat running in neighbouring areas have not been properly assessed.</w:t>
      </w:r>
    </w:p>
    <w:p w:rsidR="00157FD7" w:rsidRDefault="00157FD7" w:rsidP="00157FD7"/>
    <w:p w:rsidR="00157FD7" w:rsidRDefault="00157FD7" w:rsidP="00157FD7">
      <w:r>
        <w:t>Your officers have assessed these submissions and do not accept that the business case or consultation process has been flawed.  A number of criticisms are thought to be misinformed or incorrect.  Many others come down to a difference of opinion as to what level and kind of evidence is required at this stage of a multi-stage process.  The decision was made to give the public the opportunity to have their say whilst the proposals were still at a formative stage and that inevitably means that some of the evidence will be high level or approximate or subject to change when detailed designs are prepared.  Your officers believe that the evidence relied upon is robust and valid for both the original scheme and the consultation version of the scheme and forms a sufficient basis for the decision now to be made by Cabinet, i.e. whether to proceed to the detailed design stage.  Very many of the matters raised by the BBAG can only satisfactorily be addressed at that detailed design stage.  For example, in response to safety auditing, design changes have been made from the original scheme at junctions and these potentially affect traffic movements and timings.  However, only at the detailed design stage will it become clear what mitigation measures can be put in place and only then can any impacts on the traffic modelling be calculated.  The likely scale of any impacts is not such as to have a material bearing on the business case or the decision to be made at this point by Cabinet.</w:t>
      </w:r>
    </w:p>
    <w:p w:rsidR="00157FD7" w:rsidRDefault="00157FD7" w:rsidP="00157FD7"/>
    <w:p w:rsidR="00157FD7" w:rsidRDefault="00157FD7" w:rsidP="00157FD7">
      <w:r>
        <w:t>Similarly, the detailed design criticisms made in the BBAG's submissions can be taken into account at the detailed design stage.  Your officers do not at this point see any criticisms which would prevent the production of a satisfactory detailed scheme or alter the justification for or value for money of the scheme in any significant respect.</w:t>
      </w:r>
    </w:p>
    <w:p w:rsidR="00157FD7" w:rsidRDefault="00157FD7" w:rsidP="00157FD7"/>
    <w:p w:rsidR="00157FD7" w:rsidRDefault="00157FD7" w:rsidP="00157FD7">
      <w:r>
        <w:t xml:space="preserve">The BBAG indicate that "There are a wide range of formal objections that [we] will be pursuing if the scheme proceeds and ultimately we believe that these will be up for challenge during a judicial review process."  This looks ahead to the point at which a planning application would be submitted, at which point there will be public </w:t>
      </w:r>
      <w:r>
        <w:lastRenderedPageBreak/>
        <w:t xml:space="preserve">consultation on a detailed scheme with scope for formal objections.  In the meantime, your officers will (if approval is given to proceed to the next stage) seek to work with representatives of the BBAG to take into account their views on design, costs and impact assessment and, where agreement cannot be reached, at least ensure that there is a common understanding of the facts and </w:t>
      </w:r>
      <w:r w:rsidR="00C74098">
        <w:t xml:space="preserve">the </w:t>
      </w:r>
      <w:r>
        <w:t>reasons for the disagreement.</w:t>
      </w:r>
    </w:p>
    <w:p w:rsidR="00862A1B" w:rsidRDefault="00862A1B"/>
    <w:p w:rsidR="00862A1B" w:rsidRPr="005B274A" w:rsidRDefault="00862A1B">
      <w:pPr>
        <w:rPr>
          <w:rFonts w:cs="Arial"/>
          <w:color w:val="222222"/>
          <w:szCs w:val="24"/>
          <w:shd w:val="clear" w:color="auto" w:fill="FFFFFF"/>
        </w:rPr>
      </w:pPr>
      <w:r w:rsidRPr="005B274A">
        <w:rPr>
          <w:szCs w:val="24"/>
        </w:rPr>
        <w:t xml:space="preserve">A copy of </w:t>
      </w:r>
      <w:r w:rsidRPr="005B274A">
        <w:rPr>
          <w:rFonts w:cs="Arial"/>
          <w:color w:val="222222"/>
          <w:szCs w:val="24"/>
          <w:shd w:val="clear" w:color="auto" w:fill="FFFFFF"/>
        </w:rPr>
        <w:t xml:space="preserve">the “Essential Objections” detailed in Pages 22-23 of the 117 page submission is provided below in order to illustrate the nature and scope of the </w:t>
      </w:r>
      <w:r w:rsidR="001E6ED7">
        <w:rPr>
          <w:rFonts w:cs="Arial"/>
          <w:color w:val="222222"/>
          <w:szCs w:val="24"/>
          <w:shd w:val="clear" w:color="auto" w:fill="FFFFFF"/>
        </w:rPr>
        <w:t>objecti</w:t>
      </w:r>
      <w:r w:rsidRPr="005B274A">
        <w:rPr>
          <w:rFonts w:cs="Arial"/>
          <w:color w:val="222222"/>
          <w:szCs w:val="24"/>
          <w:shd w:val="clear" w:color="auto" w:fill="FFFFFF"/>
        </w:rPr>
        <w:t>ons being made:</w:t>
      </w:r>
    </w:p>
    <w:p w:rsidR="00862A1B" w:rsidRDefault="00862A1B">
      <w:pPr>
        <w:rPr>
          <w:rFonts w:cs="Arial"/>
          <w:color w:val="222222"/>
          <w:sz w:val="22"/>
          <w:szCs w:val="22"/>
          <w:shd w:val="clear" w:color="auto" w:fill="FFFFFF"/>
        </w:rPr>
      </w:pPr>
    </w:p>
    <w:p w:rsidR="00862A1B" w:rsidRDefault="00862A1B">
      <w:pPr>
        <w:rPr>
          <w:rFonts w:cs="Arial"/>
          <w:color w:val="222222"/>
          <w:sz w:val="22"/>
          <w:szCs w:val="22"/>
          <w:shd w:val="clear" w:color="auto" w:fill="FFFFFF"/>
        </w:rPr>
      </w:pPr>
      <w:r>
        <w:rPr>
          <w:noProof/>
        </w:rPr>
        <w:drawing>
          <wp:inline distT="0" distB="0" distL="0" distR="0" wp14:anchorId="5A0C7339" wp14:editId="2AAD29E6">
            <wp:extent cx="5676900" cy="6648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2207" cy="6654665"/>
                    </a:xfrm>
                    <a:prstGeom prst="rect">
                      <a:avLst/>
                    </a:prstGeom>
                    <a:noFill/>
                    <a:ln>
                      <a:noFill/>
                    </a:ln>
                  </pic:spPr>
                </pic:pic>
              </a:graphicData>
            </a:graphic>
          </wp:inline>
        </w:drawing>
      </w:r>
    </w:p>
    <w:p w:rsidR="00866714" w:rsidRDefault="005B274A">
      <w:pPr>
        <w:rPr>
          <w:b/>
        </w:rPr>
      </w:pPr>
      <w:r>
        <w:rPr>
          <w:b/>
          <w:noProof/>
        </w:rPr>
        <w:lastRenderedPageBreak/>
        <w:drawing>
          <wp:inline distT="0" distB="0" distL="0" distR="0">
            <wp:extent cx="5727150" cy="41910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194191"/>
                    </a:xfrm>
                    <a:prstGeom prst="rect">
                      <a:avLst/>
                    </a:prstGeom>
                    <a:noFill/>
                    <a:ln>
                      <a:noFill/>
                    </a:ln>
                  </pic:spPr>
                </pic:pic>
              </a:graphicData>
            </a:graphic>
          </wp:inline>
        </w:drawing>
      </w:r>
      <w:r w:rsidR="00866714">
        <w:rPr>
          <w:b/>
        </w:rPr>
        <w:br w:type="page"/>
      </w:r>
    </w:p>
    <w:p w:rsidR="0038751B" w:rsidRDefault="00CC0F10">
      <w:pPr>
        <w:rPr>
          <w:b/>
        </w:rPr>
      </w:pPr>
      <w:r>
        <w:rPr>
          <w:b/>
        </w:rPr>
        <w:lastRenderedPageBreak/>
        <w:t>Appendix F</w:t>
      </w:r>
    </w:p>
    <w:p w:rsidR="002E5ED5" w:rsidRDefault="002E5ED5">
      <w:pPr>
        <w:rPr>
          <w:b/>
        </w:rPr>
      </w:pPr>
    </w:p>
    <w:p w:rsidR="002E5ED5" w:rsidRDefault="0016022D" w:rsidP="002E5ED5">
      <w:pPr>
        <w:ind w:left="1701" w:hanging="992"/>
        <w:rPr>
          <w:b/>
        </w:rPr>
      </w:pPr>
      <w:r>
        <w:rPr>
          <w:b/>
        </w:rPr>
        <w:t xml:space="preserve">Chart 1: Analysis of Response Forms: Total Number of Responses to Question 1 - </w:t>
      </w:r>
      <w:r w:rsidRPr="0016022D">
        <w:rPr>
          <w:b/>
        </w:rPr>
        <w:t>Traffic Congestion in West Nuneaton causes problems in my day to day activities</w:t>
      </w:r>
    </w:p>
    <w:p w:rsidR="00651A1D" w:rsidRDefault="00651A1D" w:rsidP="001D6D03">
      <w:pPr>
        <w:ind w:left="1701" w:hanging="992"/>
        <w:rPr>
          <w:b/>
        </w:rPr>
      </w:pPr>
    </w:p>
    <w:p w:rsidR="00651A1D" w:rsidRDefault="006505CB" w:rsidP="001D6D03">
      <w:pPr>
        <w:ind w:left="1701" w:hanging="992"/>
        <w:rPr>
          <w:b/>
        </w:rPr>
      </w:pPr>
      <w:r>
        <w:rPr>
          <w:noProof/>
        </w:rPr>
        <w:drawing>
          <wp:inline distT="0" distB="0" distL="0" distR="0" wp14:anchorId="71E19C4A" wp14:editId="7735C9E7">
            <wp:extent cx="5351228" cy="5621572"/>
            <wp:effectExtent l="0" t="0" r="2095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05CB" w:rsidRPr="000D7143" w:rsidRDefault="006505CB" w:rsidP="006505CB">
      <w:pPr>
        <w:ind w:left="1701" w:hanging="992"/>
      </w:pPr>
      <w:r w:rsidRPr="000D7143">
        <w:t xml:space="preserve">Source: </w:t>
      </w:r>
      <w:r>
        <w:t>Consultation Report (Warwickshire Observatory)</w:t>
      </w: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651A1D" w:rsidRDefault="00651A1D" w:rsidP="001D6D03">
      <w:pPr>
        <w:ind w:left="1701" w:hanging="992"/>
        <w:rPr>
          <w:b/>
        </w:rPr>
      </w:pPr>
    </w:p>
    <w:p w:rsidR="002E5ED5" w:rsidRDefault="00F5337B" w:rsidP="001D6D03">
      <w:pPr>
        <w:ind w:left="1701" w:hanging="992"/>
        <w:rPr>
          <w:b/>
        </w:rPr>
      </w:pPr>
      <w:r>
        <w:rPr>
          <w:b/>
        </w:rPr>
        <w:lastRenderedPageBreak/>
        <w:t>Chart 2</w:t>
      </w:r>
      <w:r w:rsidR="00893053" w:rsidRPr="00D3765D">
        <w:rPr>
          <w:b/>
        </w:rPr>
        <w:t>:</w:t>
      </w:r>
      <w:r w:rsidR="00893053" w:rsidRPr="006E5E3D">
        <w:t xml:space="preserve"> </w:t>
      </w:r>
      <w:r w:rsidR="00893053" w:rsidRPr="006E5E3D">
        <w:tab/>
      </w:r>
      <w:r w:rsidR="00893053" w:rsidRPr="00AB7A6D">
        <w:rPr>
          <w:b/>
        </w:rPr>
        <w:t>A</w:t>
      </w:r>
      <w:r w:rsidR="00893053">
        <w:rPr>
          <w:b/>
        </w:rPr>
        <w:t>nalysis of Response Forms:</w:t>
      </w:r>
      <w:r w:rsidR="00651A1D">
        <w:rPr>
          <w:b/>
        </w:rPr>
        <w:t xml:space="preserve"> </w:t>
      </w:r>
      <w:r w:rsidR="00470240">
        <w:rPr>
          <w:b/>
        </w:rPr>
        <w:t xml:space="preserve">Total Number of Responses to </w:t>
      </w:r>
      <w:r w:rsidR="00651A1D">
        <w:rPr>
          <w:b/>
        </w:rPr>
        <w:t xml:space="preserve">Question 2 </w:t>
      </w:r>
      <w:r w:rsidR="00470240">
        <w:rPr>
          <w:b/>
        </w:rPr>
        <w:t xml:space="preserve">– Do you support the </w:t>
      </w:r>
      <w:r w:rsidR="0086212A" w:rsidRPr="00AB7A6D">
        <w:rPr>
          <w:b/>
        </w:rPr>
        <w:t>proposed new highway link across Bermuda Bridge</w:t>
      </w:r>
    </w:p>
    <w:p w:rsidR="00BA2EC8" w:rsidRDefault="00BA2EC8" w:rsidP="001D6D03">
      <w:pPr>
        <w:ind w:left="1701" w:hanging="992"/>
        <w:rPr>
          <w:b/>
        </w:rPr>
      </w:pPr>
    </w:p>
    <w:p w:rsidR="00651A1D" w:rsidRDefault="00651A1D" w:rsidP="001D6D03">
      <w:pPr>
        <w:ind w:left="1701" w:hanging="992"/>
        <w:rPr>
          <w:b/>
        </w:rPr>
      </w:pPr>
      <w:r>
        <w:rPr>
          <w:noProof/>
        </w:rPr>
        <w:drawing>
          <wp:inline distT="0" distB="0" distL="0" distR="0" wp14:anchorId="5D884BEC" wp14:editId="7B3646D4">
            <wp:extent cx="5144494" cy="5017273"/>
            <wp:effectExtent l="0" t="0" r="1841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7A07" w:rsidRPr="000D7143" w:rsidRDefault="00407A07" w:rsidP="00407A07">
      <w:pPr>
        <w:ind w:left="1701" w:hanging="992"/>
      </w:pPr>
      <w:r w:rsidRPr="000D7143">
        <w:t xml:space="preserve">Source: </w:t>
      </w:r>
      <w:r>
        <w:t>Consultation Report (Warwickshire Observatory)</w:t>
      </w:r>
    </w:p>
    <w:p w:rsidR="00407A07" w:rsidRDefault="00407A07" w:rsidP="001D6D03">
      <w:pPr>
        <w:ind w:left="1701" w:hanging="992"/>
        <w:rPr>
          <w:b/>
        </w:rPr>
      </w:pPr>
    </w:p>
    <w:p w:rsidR="00407A07" w:rsidRDefault="00407A07" w:rsidP="001D6D03">
      <w:pPr>
        <w:ind w:left="1701" w:hanging="992"/>
        <w:rPr>
          <w:b/>
        </w:rPr>
      </w:pPr>
    </w:p>
    <w:p w:rsidR="00407A07" w:rsidRDefault="00407A07" w:rsidP="001D6D03">
      <w:pPr>
        <w:ind w:left="1701" w:hanging="992"/>
        <w:rPr>
          <w:b/>
        </w:rPr>
      </w:pPr>
    </w:p>
    <w:p w:rsidR="00407A07" w:rsidRDefault="00407A07" w:rsidP="001D6D03">
      <w:pPr>
        <w:ind w:left="1701" w:hanging="992"/>
        <w:rPr>
          <w:b/>
        </w:rPr>
      </w:pPr>
    </w:p>
    <w:p w:rsidR="00407A07" w:rsidRDefault="00407A07" w:rsidP="001D6D03">
      <w:pPr>
        <w:ind w:left="1701" w:hanging="992"/>
        <w:rPr>
          <w:b/>
        </w:rPr>
      </w:pPr>
    </w:p>
    <w:p w:rsidR="00407A07" w:rsidRDefault="00407A07" w:rsidP="001D6D03">
      <w:pPr>
        <w:ind w:left="1701" w:hanging="992"/>
        <w:rPr>
          <w:b/>
        </w:rPr>
      </w:pPr>
    </w:p>
    <w:p w:rsidR="00407A07" w:rsidRDefault="00407A07" w:rsidP="001D6D03">
      <w:pPr>
        <w:ind w:left="1701" w:hanging="992"/>
        <w:rPr>
          <w:b/>
        </w:rPr>
      </w:pPr>
    </w:p>
    <w:p w:rsidR="00407A07" w:rsidRDefault="00407A07" w:rsidP="001D6D03">
      <w:pPr>
        <w:ind w:left="1701" w:hanging="992"/>
        <w:rPr>
          <w:b/>
        </w:rPr>
      </w:pPr>
    </w:p>
    <w:p w:rsidR="00275AE9" w:rsidRDefault="00275AE9">
      <w:pPr>
        <w:rPr>
          <w:b/>
        </w:rPr>
      </w:pPr>
      <w:r>
        <w:rPr>
          <w:b/>
        </w:rPr>
        <w:br w:type="page"/>
      </w:r>
    </w:p>
    <w:p w:rsidR="00D12484" w:rsidRDefault="007D54C2">
      <w:pPr>
        <w:rPr>
          <w:b/>
        </w:rPr>
      </w:pPr>
      <w:r>
        <w:rPr>
          <w:b/>
        </w:rPr>
        <w:lastRenderedPageBreak/>
        <w:t>Appendix G</w:t>
      </w:r>
    </w:p>
    <w:p w:rsidR="00FF3CDB" w:rsidRDefault="00FF3CDB">
      <w:pPr>
        <w:rPr>
          <w:b/>
        </w:rPr>
      </w:pPr>
    </w:p>
    <w:tbl>
      <w:tblPr>
        <w:tblStyle w:val="TableGrid2"/>
        <w:tblW w:w="8363" w:type="dxa"/>
        <w:tblInd w:w="392" w:type="dxa"/>
        <w:tblLook w:val="04A0" w:firstRow="1" w:lastRow="0" w:firstColumn="1" w:lastColumn="0" w:noHBand="0" w:noVBand="1"/>
      </w:tblPr>
      <w:tblGrid>
        <w:gridCol w:w="5953"/>
        <w:gridCol w:w="2410"/>
      </w:tblGrid>
      <w:tr w:rsidR="00FF3CDB" w:rsidRPr="00B06913" w:rsidTr="00FC6CF8">
        <w:tc>
          <w:tcPr>
            <w:tcW w:w="8363" w:type="dxa"/>
            <w:gridSpan w:val="2"/>
          </w:tcPr>
          <w:p w:rsidR="00FF3CDB" w:rsidRPr="00B06913" w:rsidRDefault="00FF3CDB" w:rsidP="00FC6CF8">
            <w:pPr>
              <w:overflowPunct w:val="0"/>
              <w:autoSpaceDE w:val="0"/>
              <w:autoSpaceDN w:val="0"/>
              <w:adjustRightInd w:val="0"/>
              <w:ind w:left="1026" w:hanging="992"/>
              <w:textAlignment w:val="baseline"/>
              <w:rPr>
                <w:rFonts w:cs="Arial"/>
                <w:sz w:val="22"/>
              </w:rPr>
            </w:pPr>
            <w:r w:rsidRPr="00FF3CDB">
              <w:rPr>
                <w:rFonts w:ascii="Arial" w:hAnsi="Arial" w:cs="Arial"/>
                <w:b/>
                <w:szCs w:val="24"/>
              </w:rPr>
              <w:t xml:space="preserve">Table </w:t>
            </w:r>
            <w:r>
              <w:rPr>
                <w:rFonts w:ascii="Arial" w:hAnsi="Arial" w:cs="Arial"/>
                <w:b/>
                <w:szCs w:val="24"/>
              </w:rPr>
              <w:t xml:space="preserve">5: Sections of Land Required to Deliver </w:t>
            </w:r>
            <w:r w:rsidR="00CB227A">
              <w:rPr>
                <w:rFonts w:ascii="Arial" w:hAnsi="Arial" w:cs="Arial"/>
                <w:b/>
                <w:szCs w:val="24"/>
              </w:rPr>
              <w:t xml:space="preserve">Option 1 </w:t>
            </w:r>
            <w:r>
              <w:rPr>
                <w:rFonts w:ascii="Arial" w:hAnsi="Arial" w:cs="Arial"/>
                <w:b/>
                <w:szCs w:val="24"/>
              </w:rPr>
              <w:t xml:space="preserve">and the </w:t>
            </w:r>
            <w:r w:rsidR="00FC6CF8">
              <w:rPr>
                <w:rFonts w:ascii="Arial" w:hAnsi="Arial" w:cs="Arial"/>
                <w:b/>
                <w:szCs w:val="24"/>
              </w:rPr>
              <w:t xml:space="preserve">               </w:t>
            </w:r>
            <w:r>
              <w:rPr>
                <w:rFonts w:ascii="Arial" w:hAnsi="Arial" w:cs="Arial"/>
                <w:b/>
                <w:szCs w:val="24"/>
              </w:rPr>
              <w:t>Valuation Office Agency</w:t>
            </w:r>
            <w:r w:rsidR="00FC6CF8">
              <w:rPr>
                <w:rFonts w:ascii="Arial" w:hAnsi="Arial" w:cs="Arial"/>
                <w:b/>
                <w:szCs w:val="24"/>
              </w:rPr>
              <w:t xml:space="preserve"> (VOA)</w:t>
            </w:r>
            <w:r>
              <w:rPr>
                <w:rFonts w:ascii="Arial" w:hAnsi="Arial" w:cs="Arial"/>
                <w:b/>
                <w:szCs w:val="24"/>
              </w:rPr>
              <w:t xml:space="preserve"> Opinion of Total Market Value</w:t>
            </w:r>
          </w:p>
        </w:tc>
      </w:tr>
      <w:tr w:rsidR="00FF3CDB" w:rsidRPr="00B06913" w:rsidTr="00FC6CF8">
        <w:tc>
          <w:tcPr>
            <w:tcW w:w="5953"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Section of Land</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Land Registry No</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Required for off-street car park for Bermuda Park Rail Station (80 no. spaces)</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WK253980</w:t>
            </w:r>
          </w:p>
        </w:tc>
      </w:tr>
      <w:tr w:rsidR="00FF3CDB" w:rsidRPr="00B06913" w:rsidTr="00FC6CF8">
        <w:tc>
          <w:tcPr>
            <w:tcW w:w="5953" w:type="dxa"/>
          </w:tcPr>
          <w:p w:rsidR="00FF3CDB" w:rsidRPr="001C51AA" w:rsidRDefault="00FF3CDB" w:rsidP="001C51AA">
            <w:pPr>
              <w:overflowPunct w:val="0"/>
              <w:autoSpaceDE w:val="0"/>
              <w:autoSpaceDN w:val="0"/>
              <w:adjustRightInd w:val="0"/>
              <w:textAlignment w:val="baseline"/>
              <w:rPr>
                <w:rFonts w:ascii="Arial" w:hAnsi="Arial" w:cs="Arial"/>
                <w:szCs w:val="24"/>
              </w:rPr>
            </w:pPr>
            <w:r w:rsidRPr="001C51AA">
              <w:rPr>
                <w:rFonts w:ascii="Arial" w:hAnsi="Arial" w:cs="Arial"/>
                <w:szCs w:val="24"/>
              </w:rPr>
              <w:t>Land adjoining St Georges Way and A444,</w:t>
            </w:r>
            <w:r w:rsidR="001C51AA" w:rsidRPr="001C51AA">
              <w:rPr>
                <w:rFonts w:ascii="Arial" w:hAnsi="Arial" w:cs="Arial"/>
                <w:szCs w:val="24"/>
              </w:rPr>
              <w:t xml:space="preserve"> </w:t>
            </w:r>
            <w:r w:rsidRPr="001C51AA">
              <w:rPr>
                <w:rFonts w:ascii="Arial" w:hAnsi="Arial" w:cs="Arial"/>
                <w:szCs w:val="24"/>
              </w:rPr>
              <w:t>Nuneaton (Embankment Land on  Eastern Side of Bermuda Bridge)</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WK322449</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adjoining St Georges Way (adjacent to Embankment Land on  Eastern Side of Bermuda Bridge)</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WK258979</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 xml:space="preserve">Land to the northern side of The Bridleway – (Screening Area required from forthcoming </w:t>
            </w:r>
            <w:proofErr w:type="spellStart"/>
            <w:r w:rsidRPr="001C51AA">
              <w:rPr>
                <w:rFonts w:ascii="Arial" w:hAnsi="Arial" w:cs="Arial"/>
                <w:szCs w:val="24"/>
              </w:rPr>
              <w:t>Deeley</w:t>
            </w:r>
            <w:proofErr w:type="spellEnd"/>
            <w:r w:rsidRPr="001C51AA">
              <w:rPr>
                <w:rFonts w:ascii="Arial" w:hAnsi="Arial" w:cs="Arial"/>
                <w:szCs w:val="24"/>
              </w:rPr>
              <w:t xml:space="preserve"> / Holland and Barrett Ltd Development)</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WK459710</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adjoining St George’s Way (Univar Site)</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WK309949</w:t>
            </w:r>
          </w:p>
        </w:tc>
      </w:tr>
      <w:tr w:rsidR="00FF3CDB" w:rsidRPr="00B06913" w:rsidTr="00FC6CF8">
        <w:tc>
          <w:tcPr>
            <w:tcW w:w="5953" w:type="dxa"/>
          </w:tcPr>
          <w:p w:rsidR="00FF3CDB" w:rsidRPr="001C51AA" w:rsidRDefault="001C51AA" w:rsidP="00747619">
            <w:pPr>
              <w:overflowPunct w:val="0"/>
              <w:autoSpaceDE w:val="0"/>
              <w:autoSpaceDN w:val="0"/>
              <w:adjustRightInd w:val="0"/>
              <w:textAlignment w:val="baseline"/>
              <w:rPr>
                <w:rFonts w:ascii="Arial" w:hAnsi="Arial" w:cs="Arial"/>
                <w:szCs w:val="24"/>
              </w:rPr>
            </w:pPr>
            <w:r>
              <w:rPr>
                <w:rFonts w:ascii="Arial" w:hAnsi="Arial" w:cs="Arial"/>
                <w:szCs w:val="24"/>
              </w:rPr>
              <w:t>*</w:t>
            </w:r>
            <w:r w:rsidR="00FF3CDB" w:rsidRPr="001C51AA">
              <w:rPr>
                <w:rFonts w:ascii="Arial" w:hAnsi="Arial" w:cs="Arial"/>
                <w:szCs w:val="24"/>
              </w:rPr>
              <w:t xml:space="preserve">Land adjoining The Bridleway </w:t>
            </w:r>
          </w:p>
          <w:p w:rsidR="00FF3CDB" w:rsidRPr="001C51AA" w:rsidRDefault="001C51AA" w:rsidP="001C51AA">
            <w:pPr>
              <w:overflowPunct w:val="0"/>
              <w:autoSpaceDE w:val="0"/>
              <w:autoSpaceDN w:val="0"/>
              <w:adjustRightInd w:val="0"/>
              <w:textAlignment w:val="baseline"/>
              <w:rPr>
                <w:rFonts w:ascii="Arial" w:hAnsi="Arial" w:cs="Arial"/>
                <w:szCs w:val="24"/>
              </w:rPr>
            </w:pPr>
            <w:r w:rsidRPr="001C51AA">
              <w:rPr>
                <w:rFonts w:ascii="Arial" w:hAnsi="Arial" w:cs="Arial"/>
                <w:szCs w:val="24"/>
              </w:rPr>
              <w:t xml:space="preserve">(Embankment Land on </w:t>
            </w:r>
            <w:r w:rsidR="00FF3CDB" w:rsidRPr="001C51AA">
              <w:rPr>
                <w:rFonts w:ascii="Arial" w:hAnsi="Arial" w:cs="Arial"/>
                <w:szCs w:val="24"/>
              </w:rPr>
              <w:t>Western Side of Bermuda Bridge)</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WK322449</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within the site of the Bermuda Phoenix Centre</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WK322449</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 xml:space="preserve">Land adjoining The Bridleway, </w:t>
            </w:r>
          </w:p>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(Holland and Barrett Ltd Land)</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WK454357</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at Hare &amp; Hounds PH, off Heath End Road</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WK379487</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forming part of the Roadway at the junction of Sargasso Lane with Bermuda Road, part of the southern footway, and an area of landscaping</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WK463529</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forming part of The Bridleway and Templar Drive</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noProof/>
                <w:szCs w:val="24"/>
              </w:rPr>
              <w:t>WK434425</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to the front of the Bermuda Phoenix Centre</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noProof/>
                <w:szCs w:val="24"/>
              </w:rPr>
            </w:pPr>
            <w:r w:rsidRPr="001C51AA">
              <w:rPr>
                <w:rFonts w:ascii="Arial" w:hAnsi="Arial" w:cs="Arial"/>
                <w:szCs w:val="24"/>
              </w:rPr>
              <w:t>Unregistered Land 1</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on the northern side of The Bridleway slightly to the east of where Templar Drive meets The Bridleway</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Unregistered Land 2</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ascii="Arial" w:hAnsi="Arial" w:cs="Arial"/>
                <w:szCs w:val="24"/>
              </w:rPr>
            </w:pPr>
            <w:r w:rsidRPr="001C51AA">
              <w:rPr>
                <w:rFonts w:ascii="Arial" w:hAnsi="Arial" w:cs="Arial"/>
                <w:szCs w:val="24"/>
              </w:rPr>
              <w:t>Land forming part of the Roadway at Hare &amp; Hounds Lane, off Heath End Road</w:t>
            </w:r>
          </w:p>
        </w:tc>
        <w:tc>
          <w:tcPr>
            <w:tcW w:w="2410" w:type="dxa"/>
          </w:tcPr>
          <w:p w:rsidR="00FF3CDB" w:rsidRPr="001C51AA" w:rsidRDefault="00FF3CDB" w:rsidP="00747619">
            <w:pPr>
              <w:overflowPunct w:val="0"/>
              <w:autoSpaceDE w:val="0"/>
              <w:autoSpaceDN w:val="0"/>
              <w:adjustRightInd w:val="0"/>
              <w:jc w:val="center"/>
              <w:textAlignment w:val="baseline"/>
              <w:rPr>
                <w:rFonts w:ascii="Arial" w:hAnsi="Arial" w:cs="Arial"/>
                <w:szCs w:val="24"/>
              </w:rPr>
            </w:pPr>
            <w:r w:rsidRPr="001C51AA">
              <w:rPr>
                <w:rFonts w:ascii="Arial" w:hAnsi="Arial" w:cs="Arial"/>
                <w:szCs w:val="24"/>
              </w:rPr>
              <w:t>Unregistered Land 3</w:t>
            </w:r>
          </w:p>
        </w:tc>
      </w:tr>
      <w:tr w:rsidR="00FF3CDB" w:rsidRPr="00B06913" w:rsidTr="00FC6CF8">
        <w:tc>
          <w:tcPr>
            <w:tcW w:w="5953" w:type="dxa"/>
          </w:tcPr>
          <w:p w:rsidR="00FF3CDB" w:rsidRPr="001C51AA" w:rsidRDefault="00FF3CDB" w:rsidP="00747619">
            <w:pPr>
              <w:overflowPunct w:val="0"/>
              <w:autoSpaceDE w:val="0"/>
              <w:autoSpaceDN w:val="0"/>
              <w:adjustRightInd w:val="0"/>
              <w:textAlignment w:val="baseline"/>
              <w:rPr>
                <w:rFonts w:cs="Arial"/>
                <w:szCs w:val="24"/>
              </w:rPr>
            </w:pPr>
            <w:r w:rsidRPr="001C51AA">
              <w:rPr>
                <w:rFonts w:ascii="Arial" w:hAnsi="Arial" w:cs="Arial"/>
                <w:szCs w:val="24"/>
              </w:rPr>
              <w:t xml:space="preserve">VOA Opinion on the Total Market Value of the Sections of Land Required  </w:t>
            </w:r>
          </w:p>
        </w:tc>
        <w:tc>
          <w:tcPr>
            <w:tcW w:w="2410" w:type="dxa"/>
          </w:tcPr>
          <w:p w:rsidR="00FF3CDB" w:rsidRPr="001C51AA" w:rsidRDefault="00FF3CDB" w:rsidP="00747619">
            <w:pPr>
              <w:overflowPunct w:val="0"/>
              <w:autoSpaceDE w:val="0"/>
              <w:autoSpaceDN w:val="0"/>
              <w:adjustRightInd w:val="0"/>
              <w:jc w:val="center"/>
              <w:textAlignment w:val="baseline"/>
              <w:rPr>
                <w:rFonts w:cs="Arial"/>
                <w:szCs w:val="24"/>
              </w:rPr>
            </w:pPr>
            <w:r w:rsidRPr="001C51AA">
              <w:rPr>
                <w:rFonts w:ascii="Arial" w:hAnsi="Arial" w:cs="Arial"/>
                <w:szCs w:val="24"/>
              </w:rPr>
              <w:t>£333,688</w:t>
            </w:r>
          </w:p>
        </w:tc>
      </w:tr>
    </w:tbl>
    <w:p w:rsidR="001C51AA" w:rsidRDefault="001C51AA">
      <w:pPr>
        <w:rPr>
          <w:b/>
        </w:rPr>
      </w:pPr>
    </w:p>
    <w:p w:rsidR="001C51AA" w:rsidRPr="00B06913" w:rsidRDefault="001C51AA" w:rsidP="001C51AA">
      <w:pPr>
        <w:ind w:left="567" w:hanging="283"/>
        <w:rPr>
          <w:rFonts w:cs="Arial"/>
          <w:szCs w:val="24"/>
          <w:u w:val="single"/>
        </w:rPr>
      </w:pPr>
      <w:r w:rsidRPr="00B06913">
        <w:rPr>
          <w:rFonts w:cs="Arial"/>
          <w:szCs w:val="24"/>
          <w:lang w:eastAsia="en-US"/>
        </w:rPr>
        <w:t>*</w:t>
      </w:r>
      <w:r>
        <w:rPr>
          <w:rFonts w:cs="Arial"/>
          <w:szCs w:val="24"/>
          <w:lang w:eastAsia="en-US"/>
        </w:rPr>
        <w:tab/>
      </w:r>
      <w:r w:rsidRPr="00B06913">
        <w:rPr>
          <w:rFonts w:cs="Arial"/>
          <w:szCs w:val="24"/>
          <w:lang w:eastAsia="en-US"/>
        </w:rPr>
        <w:t xml:space="preserve">The value of this </w:t>
      </w:r>
      <w:r>
        <w:rPr>
          <w:rFonts w:cs="Arial"/>
          <w:szCs w:val="24"/>
          <w:lang w:eastAsia="en-US"/>
        </w:rPr>
        <w:t xml:space="preserve">particular section of </w:t>
      </w:r>
      <w:r w:rsidRPr="00B06913">
        <w:rPr>
          <w:rFonts w:cs="Arial"/>
          <w:szCs w:val="24"/>
          <w:lang w:eastAsia="en-US"/>
        </w:rPr>
        <w:t xml:space="preserve">land may </w:t>
      </w:r>
      <w:r>
        <w:rPr>
          <w:rFonts w:cs="Arial"/>
          <w:szCs w:val="24"/>
          <w:lang w:eastAsia="en-US"/>
        </w:rPr>
        <w:t>change</w:t>
      </w:r>
      <w:r w:rsidRPr="00B06913">
        <w:rPr>
          <w:rFonts w:cs="Arial"/>
          <w:szCs w:val="24"/>
          <w:lang w:eastAsia="en-US"/>
        </w:rPr>
        <w:t xml:space="preserve"> depending on the </w:t>
      </w:r>
      <w:r w:rsidRPr="00B06913">
        <w:rPr>
          <w:rFonts w:cs="Arial"/>
          <w:color w:val="222222"/>
          <w:szCs w:val="24"/>
          <w:shd w:val="clear" w:color="auto" w:fill="FFFFFF"/>
          <w:lang w:eastAsia="en-US"/>
        </w:rPr>
        <w:t>amount of land required to enable the relocation of an existing attenuation pond and other mitigation. </w:t>
      </w:r>
    </w:p>
    <w:p w:rsidR="001E6ED7" w:rsidRDefault="001E6ED7">
      <w:pPr>
        <w:rPr>
          <w:b/>
        </w:rPr>
      </w:pPr>
      <w:r>
        <w:rPr>
          <w:b/>
        </w:rPr>
        <w:br w:type="page"/>
      </w:r>
    </w:p>
    <w:p w:rsidR="001E6ED7" w:rsidRDefault="001E6ED7" w:rsidP="001E6ED7">
      <w:pPr>
        <w:rPr>
          <w:b/>
        </w:rPr>
      </w:pPr>
      <w:r>
        <w:rPr>
          <w:b/>
        </w:rPr>
        <w:lastRenderedPageBreak/>
        <w:t>Appendix H</w:t>
      </w:r>
    </w:p>
    <w:p w:rsidR="001E6ED7" w:rsidRDefault="001E6ED7" w:rsidP="001E6ED7">
      <w:pPr>
        <w:rPr>
          <w:b/>
        </w:rPr>
      </w:pPr>
    </w:p>
    <w:p w:rsidR="008C284D" w:rsidRDefault="001E6ED7" w:rsidP="001E6ED7">
      <w:pPr>
        <w:rPr>
          <w:b/>
        </w:rPr>
      </w:pPr>
      <w:r>
        <w:rPr>
          <w:b/>
        </w:rPr>
        <w:t xml:space="preserve">Bermuda Bridge Action Group – Bermuda Connection </w:t>
      </w:r>
      <w:r w:rsidR="00C200E5">
        <w:rPr>
          <w:b/>
        </w:rPr>
        <w:t>Project Scheme Objections</w:t>
      </w:r>
      <w:r w:rsidR="008C284D">
        <w:rPr>
          <w:b/>
        </w:rPr>
        <w:t xml:space="preserve"> and Accompanying Public Consultation Response Drawings </w:t>
      </w:r>
    </w:p>
    <w:p w:rsidR="008C284D" w:rsidRDefault="008C284D" w:rsidP="001E6ED7">
      <w:pPr>
        <w:rPr>
          <w:b/>
        </w:rPr>
      </w:pPr>
    </w:p>
    <w:p w:rsidR="008C284D" w:rsidRPr="008C284D" w:rsidRDefault="008C284D" w:rsidP="001E6ED7">
      <w:r>
        <w:t xml:space="preserve">This information is available online and also hard copies have been placed on display in the </w:t>
      </w:r>
      <w:r w:rsidR="008D2C82">
        <w:t xml:space="preserve">Group Rooms.  </w:t>
      </w:r>
      <w:r>
        <w:t xml:space="preserve"> </w:t>
      </w:r>
    </w:p>
    <w:p w:rsidR="008C284D" w:rsidRDefault="008C284D" w:rsidP="001E6ED7">
      <w:pPr>
        <w:rPr>
          <w:b/>
        </w:rPr>
      </w:pPr>
    </w:p>
    <w:sectPr w:rsidR="008C284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35" w:rsidRDefault="00832835" w:rsidP="00674989">
      <w:r>
        <w:separator/>
      </w:r>
    </w:p>
  </w:endnote>
  <w:endnote w:type="continuationSeparator" w:id="0">
    <w:p w:rsidR="00832835" w:rsidRDefault="00832835" w:rsidP="0067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35" w:rsidRDefault="00832835">
    <w:pPr>
      <w:pStyle w:val="Footer"/>
      <w:jc w:val="center"/>
    </w:pPr>
    <w:r w:rsidRPr="00674989">
      <w:rPr>
        <w:bCs/>
        <w:szCs w:val="24"/>
      </w:rPr>
      <w:fldChar w:fldCharType="begin"/>
    </w:r>
    <w:r w:rsidRPr="00674989">
      <w:rPr>
        <w:bCs/>
      </w:rPr>
      <w:instrText xml:space="preserve"> PAGE </w:instrText>
    </w:r>
    <w:r w:rsidRPr="00674989">
      <w:rPr>
        <w:bCs/>
        <w:szCs w:val="24"/>
      </w:rPr>
      <w:fldChar w:fldCharType="separate"/>
    </w:r>
    <w:r w:rsidR="00546910">
      <w:rPr>
        <w:bCs/>
        <w:noProof/>
      </w:rPr>
      <w:t>1</w:t>
    </w:r>
    <w:r w:rsidRPr="00674989">
      <w:rPr>
        <w:bCs/>
        <w:szCs w:val="24"/>
      </w:rPr>
      <w:fldChar w:fldCharType="end"/>
    </w:r>
    <w:r w:rsidRPr="00674989">
      <w:t xml:space="preserve"> of </w:t>
    </w:r>
    <w:r w:rsidRPr="00674989">
      <w:rPr>
        <w:bCs/>
        <w:szCs w:val="24"/>
      </w:rPr>
      <w:fldChar w:fldCharType="begin"/>
    </w:r>
    <w:r w:rsidRPr="00674989">
      <w:rPr>
        <w:bCs/>
      </w:rPr>
      <w:instrText xml:space="preserve"> NUMPAGES  </w:instrText>
    </w:r>
    <w:r w:rsidRPr="00674989">
      <w:rPr>
        <w:bCs/>
        <w:szCs w:val="24"/>
      </w:rPr>
      <w:fldChar w:fldCharType="separate"/>
    </w:r>
    <w:r w:rsidR="00546910">
      <w:rPr>
        <w:bCs/>
        <w:noProof/>
      </w:rPr>
      <w:t>24</w:t>
    </w:r>
    <w:r w:rsidRPr="00674989">
      <w:rPr>
        <w:bCs/>
        <w:szCs w:val="24"/>
      </w:rPr>
      <w:fldChar w:fldCharType="end"/>
    </w:r>
  </w:p>
  <w:p w:rsidR="00832835" w:rsidRDefault="0083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35" w:rsidRDefault="00832835" w:rsidP="00674989">
      <w:r>
        <w:separator/>
      </w:r>
    </w:p>
  </w:footnote>
  <w:footnote w:type="continuationSeparator" w:id="0">
    <w:p w:rsidR="00832835" w:rsidRDefault="00832835" w:rsidP="00674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181"/>
    <w:multiLevelType w:val="hybridMultilevel"/>
    <w:tmpl w:val="694C09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
    <w:nsid w:val="02AF114E"/>
    <w:multiLevelType w:val="multilevel"/>
    <w:tmpl w:val="165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A2FC4"/>
    <w:multiLevelType w:val="hybridMultilevel"/>
    <w:tmpl w:val="4F6E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F1ABA"/>
    <w:multiLevelType w:val="hybridMultilevel"/>
    <w:tmpl w:val="0D7E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A2112"/>
    <w:multiLevelType w:val="hybridMultilevel"/>
    <w:tmpl w:val="E766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E56D7"/>
    <w:multiLevelType w:val="multilevel"/>
    <w:tmpl w:val="8CD2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F379F"/>
    <w:multiLevelType w:val="multilevel"/>
    <w:tmpl w:val="FE0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119CE"/>
    <w:multiLevelType w:val="hybridMultilevel"/>
    <w:tmpl w:val="5D96B626"/>
    <w:lvl w:ilvl="0" w:tplc="AC50FBB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179020BE"/>
    <w:multiLevelType w:val="multilevel"/>
    <w:tmpl w:val="9E7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8448A"/>
    <w:multiLevelType w:val="hybridMultilevel"/>
    <w:tmpl w:val="7EC0E8BA"/>
    <w:lvl w:ilvl="0" w:tplc="76C4D6B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1CBA358B"/>
    <w:multiLevelType w:val="hybridMultilevel"/>
    <w:tmpl w:val="8D1030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F652947"/>
    <w:multiLevelType w:val="hybridMultilevel"/>
    <w:tmpl w:val="6AC8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996DE9"/>
    <w:multiLevelType w:val="hybridMultilevel"/>
    <w:tmpl w:val="CD3E4962"/>
    <w:lvl w:ilvl="0" w:tplc="0809000F">
      <w:start w:val="1"/>
      <w:numFmt w:val="decimal"/>
      <w:lvlText w:val="%1."/>
      <w:lvlJc w:val="left"/>
      <w:pPr>
        <w:ind w:left="2847"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235829E5"/>
    <w:multiLevelType w:val="hybridMultilevel"/>
    <w:tmpl w:val="CF0451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24422D15"/>
    <w:multiLevelType w:val="hybridMultilevel"/>
    <w:tmpl w:val="5112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26DD9"/>
    <w:multiLevelType w:val="hybridMultilevel"/>
    <w:tmpl w:val="F238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F23C06"/>
    <w:multiLevelType w:val="hybridMultilevel"/>
    <w:tmpl w:val="D65891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2B47755F"/>
    <w:multiLevelType w:val="hybridMultilevel"/>
    <w:tmpl w:val="2B92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0D7CCD"/>
    <w:multiLevelType w:val="hybridMultilevel"/>
    <w:tmpl w:val="1D7A5B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00C715A"/>
    <w:multiLevelType w:val="multilevel"/>
    <w:tmpl w:val="DD4E8E06"/>
    <w:lvl w:ilvl="0">
      <w:start w:val="1"/>
      <w:numFmt w:val="decimal"/>
      <w:pStyle w:val="Heading1"/>
      <w:lvlText w:val="%1"/>
      <w:lvlJc w:val="left"/>
      <w:pPr>
        <w:ind w:left="432" w:hanging="432"/>
      </w:pPr>
      <w:rPr>
        <w:rFonts w:ascii="Arial" w:hAnsi="Arial" w:cs="Arial" w:hint="default"/>
        <w:b/>
        <w:sz w:val="28"/>
        <w:szCs w:val="28"/>
      </w:rPr>
    </w:lvl>
    <w:lvl w:ilvl="1">
      <w:start w:val="1"/>
      <w:numFmt w:val="decimal"/>
      <w:pStyle w:val="Heading2"/>
      <w:lvlText w:val="%1.%2"/>
      <w:lvlJc w:val="left"/>
      <w:pPr>
        <w:ind w:left="576" w:hanging="576"/>
      </w:pPr>
      <w:rPr>
        <w:rFonts w:ascii="Arial" w:hAnsi="Arial" w:cs="Arial" w:hint="default"/>
        <w:b w:val="0"/>
        <w:sz w:val="24"/>
      </w:rPr>
    </w:lvl>
    <w:lvl w:ilvl="2">
      <w:start w:val="1"/>
      <w:numFmt w:val="decimal"/>
      <w:pStyle w:val="Heading3"/>
      <w:lvlText w:val="%1.%2.%3"/>
      <w:lvlJc w:val="left"/>
      <w:pPr>
        <w:ind w:left="720" w:hanging="720"/>
      </w:pPr>
      <w:rPr>
        <w:b w:val="0"/>
        <w:sz w:val="24"/>
      </w:rPr>
    </w:lvl>
    <w:lvl w:ilvl="3">
      <w:start w:val="1"/>
      <w:numFmt w:val="decimal"/>
      <w:pStyle w:val="Heading4"/>
      <w:lvlText w:val="%1.%2.%3.%4"/>
      <w:lvlJc w:val="left"/>
      <w:pPr>
        <w:ind w:left="864" w:hanging="864"/>
      </w:pPr>
      <w:rPr>
        <w:b w:val="0"/>
        <w:sz w:val="24"/>
      </w:rPr>
    </w:lvl>
    <w:lvl w:ilvl="4">
      <w:start w:val="1"/>
      <w:numFmt w:val="decimal"/>
      <w:pStyle w:val="Heading5"/>
      <w:lvlText w:val="%1.%2.%3.%4.%5"/>
      <w:lvlJc w:val="left"/>
      <w:pPr>
        <w:ind w:left="1008" w:hanging="1008"/>
      </w:pPr>
      <w:rPr>
        <w:b w:val="0"/>
        <w:sz w:val="24"/>
      </w:rPr>
    </w:lvl>
    <w:lvl w:ilvl="5">
      <w:start w:val="1"/>
      <w:numFmt w:val="decimal"/>
      <w:pStyle w:val="Heading6"/>
      <w:lvlText w:val="%1.%2.%3.%4.%5.%6"/>
      <w:lvlJc w:val="left"/>
      <w:pPr>
        <w:ind w:left="1152" w:hanging="1152"/>
      </w:pPr>
      <w:rPr>
        <w:b w:val="0"/>
        <w:sz w:val="24"/>
      </w:rPr>
    </w:lvl>
    <w:lvl w:ilvl="6">
      <w:start w:val="1"/>
      <w:numFmt w:val="decimal"/>
      <w:pStyle w:val="Heading7"/>
      <w:lvlText w:val="%1.%2.%3.%4.%5.%6.%7"/>
      <w:lvlJc w:val="left"/>
      <w:pPr>
        <w:ind w:left="1296" w:hanging="1296"/>
      </w:pPr>
      <w:rPr>
        <w:b w:val="0"/>
        <w:sz w:val="24"/>
      </w:rPr>
    </w:lvl>
    <w:lvl w:ilvl="7">
      <w:start w:val="1"/>
      <w:numFmt w:val="decimal"/>
      <w:pStyle w:val="Heading8"/>
      <w:lvlText w:val="%1.%2.%3.%4.%5.%6.%7.%8"/>
      <w:lvlJc w:val="left"/>
      <w:pPr>
        <w:ind w:left="1440" w:hanging="1440"/>
      </w:pPr>
      <w:rPr>
        <w:b w:val="0"/>
        <w:sz w:val="24"/>
      </w:rPr>
    </w:lvl>
    <w:lvl w:ilvl="8">
      <w:start w:val="1"/>
      <w:numFmt w:val="decimal"/>
      <w:pStyle w:val="Heading9"/>
      <w:lvlText w:val="%1.%2.%3.%4.%5.%6.%7.%8.%9"/>
      <w:lvlJc w:val="left"/>
      <w:pPr>
        <w:ind w:left="1584" w:hanging="1584"/>
      </w:pPr>
      <w:rPr>
        <w:b w:val="0"/>
        <w:sz w:val="24"/>
      </w:rPr>
    </w:lvl>
  </w:abstractNum>
  <w:abstractNum w:abstractNumId="20">
    <w:nsid w:val="30642094"/>
    <w:multiLevelType w:val="hybridMultilevel"/>
    <w:tmpl w:val="2D6E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DA5F3E"/>
    <w:multiLevelType w:val="hybridMultilevel"/>
    <w:tmpl w:val="0B38B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26F28"/>
    <w:multiLevelType w:val="hybridMultilevel"/>
    <w:tmpl w:val="435C8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51A75"/>
    <w:multiLevelType w:val="hybridMultilevel"/>
    <w:tmpl w:val="8746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C73DA"/>
    <w:multiLevelType w:val="hybridMultilevel"/>
    <w:tmpl w:val="774E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84861"/>
    <w:multiLevelType w:val="hybridMultilevel"/>
    <w:tmpl w:val="F370CE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45BD2CE8"/>
    <w:multiLevelType w:val="multilevel"/>
    <w:tmpl w:val="DB7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6379C1"/>
    <w:multiLevelType w:val="hybridMultilevel"/>
    <w:tmpl w:val="5774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E82C90"/>
    <w:multiLevelType w:val="hybridMultilevel"/>
    <w:tmpl w:val="89E4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A51970"/>
    <w:multiLevelType w:val="hybridMultilevel"/>
    <w:tmpl w:val="066A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B5569B"/>
    <w:multiLevelType w:val="multilevel"/>
    <w:tmpl w:val="623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2553A"/>
    <w:multiLevelType w:val="hybridMultilevel"/>
    <w:tmpl w:val="B6BA8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B72C95"/>
    <w:multiLevelType w:val="hybridMultilevel"/>
    <w:tmpl w:val="24B4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7B70DC"/>
    <w:multiLevelType w:val="hybridMultilevel"/>
    <w:tmpl w:val="DC043AF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4">
    <w:nsid w:val="65C4537A"/>
    <w:multiLevelType w:val="hybridMultilevel"/>
    <w:tmpl w:val="7B3C4D56"/>
    <w:lvl w:ilvl="0" w:tplc="0809000F">
      <w:start w:val="1"/>
      <w:numFmt w:val="decimal"/>
      <w:lvlText w:val="%1."/>
      <w:lvlJc w:val="left"/>
      <w:pPr>
        <w:ind w:left="2843"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5">
    <w:nsid w:val="6934457F"/>
    <w:multiLevelType w:val="hybridMultilevel"/>
    <w:tmpl w:val="0B38B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030426"/>
    <w:multiLevelType w:val="hybridMultilevel"/>
    <w:tmpl w:val="C820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BC2B97"/>
    <w:multiLevelType w:val="hybridMultilevel"/>
    <w:tmpl w:val="D244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5E2DA0"/>
    <w:multiLevelType w:val="hybridMultilevel"/>
    <w:tmpl w:val="051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044E89"/>
    <w:multiLevelType w:val="hybridMultilevel"/>
    <w:tmpl w:val="4C58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451D6F"/>
    <w:multiLevelType w:val="hybridMultilevel"/>
    <w:tmpl w:val="A684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6E03CD"/>
    <w:multiLevelType w:val="hybridMultilevel"/>
    <w:tmpl w:val="11F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38"/>
  </w:num>
  <w:num w:numId="4">
    <w:abstractNumId w:val="16"/>
  </w:num>
  <w:num w:numId="5">
    <w:abstractNumId w:val="25"/>
  </w:num>
  <w:num w:numId="6">
    <w:abstractNumId w:val="37"/>
  </w:num>
  <w:num w:numId="7">
    <w:abstractNumId w:val="23"/>
  </w:num>
  <w:num w:numId="8">
    <w:abstractNumId w:val="17"/>
  </w:num>
  <w:num w:numId="9">
    <w:abstractNumId w:val="13"/>
  </w:num>
  <w:num w:numId="10">
    <w:abstractNumId w:val="6"/>
  </w:num>
  <w:num w:numId="11">
    <w:abstractNumId w:val="3"/>
  </w:num>
  <w:num w:numId="12">
    <w:abstractNumId w:val="1"/>
  </w:num>
  <w:num w:numId="13">
    <w:abstractNumId w:val="28"/>
  </w:num>
  <w:num w:numId="14">
    <w:abstractNumId w:val="39"/>
  </w:num>
  <w:num w:numId="15">
    <w:abstractNumId w:val="0"/>
  </w:num>
  <w:num w:numId="16">
    <w:abstractNumId w:val="7"/>
  </w:num>
  <w:num w:numId="17">
    <w:abstractNumId w:val="9"/>
  </w:num>
  <w:num w:numId="18">
    <w:abstractNumId w:val="40"/>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4"/>
  </w:num>
  <w:num w:numId="23">
    <w:abstractNumId w:val="12"/>
  </w:num>
  <w:num w:numId="24">
    <w:abstractNumId w:val="15"/>
  </w:num>
  <w:num w:numId="25">
    <w:abstractNumId w:val="24"/>
  </w:num>
  <w:num w:numId="26">
    <w:abstractNumId w:val="32"/>
  </w:num>
  <w:num w:numId="27">
    <w:abstractNumId w:val="4"/>
  </w:num>
  <w:num w:numId="28">
    <w:abstractNumId w:val="22"/>
  </w:num>
  <w:num w:numId="29">
    <w:abstractNumId w:val="30"/>
  </w:num>
  <w:num w:numId="30">
    <w:abstractNumId w:val="21"/>
  </w:num>
  <w:num w:numId="31">
    <w:abstractNumId w:val="8"/>
  </w:num>
  <w:num w:numId="32">
    <w:abstractNumId w:val="35"/>
  </w:num>
  <w:num w:numId="33">
    <w:abstractNumId w:val="5"/>
  </w:num>
  <w:num w:numId="34">
    <w:abstractNumId w:val="33"/>
  </w:num>
  <w:num w:numId="35">
    <w:abstractNumId w:val="31"/>
  </w:num>
  <w:num w:numId="36">
    <w:abstractNumId w:val="20"/>
  </w:num>
  <w:num w:numId="37">
    <w:abstractNumId w:val="27"/>
  </w:num>
  <w:num w:numId="38">
    <w:abstractNumId w:val="29"/>
  </w:num>
  <w:num w:numId="39">
    <w:abstractNumId w:val="11"/>
  </w:num>
  <w:num w:numId="40">
    <w:abstractNumId w:val="2"/>
  </w:num>
  <w:num w:numId="41">
    <w:abstractNumId w:val="26"/>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6C"/>
    <w:rsid w:val="00005847"/>
    <w:rsid w:val="00006323"/>
    <w:rsid w:val="00006DF0"/>
    <w:rsid w:val="00011761"/>
    <w:rsid w:val="0001192E"/>
    <w:rsid w:val="0002035E"/>
    <w:rsid w:val="00022232"/>
    <w:rsid w:val="000249A8"/>
    <w:rsid w:val="000341F8"/>
    <w:rsid w:val="00036E8A"/>
    <w:rsid w:val="00037BE1"/>
    <w:rsid w:val="00042604"/>
    <w:rsid w:val="00044A65"/>
    <w:rsid w:val="000532BB"/>
    <w:rsid w:val="00054DED"/>
    <w:rsid w:val="000647E3"/>
    <w:rsid w:val="00064A33"/>
    <w:rsid w:val="0007183A"/>
    <w:rsid w:val="00091416"/>
    <w:rsid w:val="0009197C"/>
    <w:rsid w:val="000951BA"/>
    <w:rsid w:val="0009681A"/>
    <w:rsid w:val="000A5A65"/>
    <w:rsid w:val="000A65A4"/>
    <w:rsid w:val="000B0A36"/>
    <w:rsid w:val="000B0BBA"/>
    <w:rsid w:val="000B1654"/>
    <w:rsid w:val="000B2305"/>
    <w:rsid w:val="000B3E63"/>
    <w:rsid w:val="000B42EA"/>
    <w:rsid w:val="000C7394"/>
    <w:rsid w:val="000D0AB7"/>
    <w:rsid w:val="000D1D11"/>
    <w:rsid w:val="000D3258"/>
    <w:rsid w:val="000D44A5"/>
    <w:rsid w:val="000D7143"/>
    <w:rsid w:val="000D7602"/>
    <w:rsid w:val="000E4DFD"/>
    <w:rsid w:val="000E5108"/>
    <w:rsid w:val="000E58AC"/>
    <w:rsid w:val="000E65DB"/>
    <w:rsid w:val="000F6DBB"/>
    <w:rsid w:val="001048C6"/>
    <w:rsid w:val="00105384"/>
    <w:rsid w:val="00114A24"/>
    <w:rsid w:val="00115B1E"/>
    <w:rsid w:val="00115E05"/>
    <w:rsid w:val="001216F0"/>
    <w:rsid w:val="00127499"/>
    <w:rsid w:val="00130DCE"/>
    <w:rsid w:val="001336C9"/>
    <w:rsid w:val="00136A55"/>
    <w:rsid w:val="0013778B"/>
    <w:rsid w:val="00140F2B"/>
    <w:rsid w:val="00147C2A"/>
    <w:rsid w:val="00150240"/>
    <w:rsid w:val="00155B63"/>
    <w:rsid w:val="00157FD7"/>
    <w:rsid w:val="0016022D"/>
    <w:rsid w:val="0016278E"/>
    <w:rsid w:val="00182B48"/>
    <w:rsid w:val="0018562F"/>
    <w:rsid w:val="00185A67"/>
    <w:rsid w:val="00194B8A"/>
    <w:rsid w:val="001A4C83"/>
    <w:rsid w:val="001A4EC1"/>
    <w:rsid w:val="001B0519"/>
    <w:rsid w:val="001B0FE7"/>
    <w:rsid w:val="001B240F"/>
    <w:rsid w:val="001B2D3B"/>
    <w:rsid w:val="001B3111"/>
    <w:rsid w:val="001B77CA"/>
    <w:rsid w:val="001C1CE2"/>
    <w:rsid w:val="001C2174"/>
    <w:rsid w:val="001C2479"/>
    <w:rsid w:val="001C2870"/>
    <w:rsid w:val="001C4AAE"/>
    <w:rsid w:val="001C51AA"/>
    <w:rsid w:val="001C5D92"/>
    <w:rsid w:val="001C7859"/>
    <w:rsid w:val="001D6D03"/>
    <w:rsid w:val="001E20B1"/>
    <w:rsid w:val="001E2608"/>
    <w:rsid w:val="001E50E6"/>
    <w:rsid w:val="001E6ED7"/>
    <w:rsid w:val="001F626B"/>
    <w:rsid w:val="002015BD"/>
    <w:rsid w:val="0020682F"/>
    <w:rsid w:val="0020718F"/>
    <w:rsid w:val="0021284C"/>
    <w:rsid w:val="00216C6D"/>
    <w:rsid w:val="002230D4"/>
    <w:rsid w:val="002234C0"/>
    <w:rsid w:val="00226655"/>
    <w:rsid w:val="00233757"/>
    <w:rsid w:val="002428B1"/>
    <w:rsid w:val="00246EAC"/>
    <w:rsid w:val="0025541F"/>
    <w:rsid w:val="00261AAE"/>
    <w:rsid w:val="002629C4"/>
    <w:rsid w:val="002670D0"/>
    <w:rsid w:val="00272B6F"/>
    <w:rsid w:val="00275AE9"/>
    <w:rsid w:val="00277311"/>
    <w:rsid w:val="00280B69"/>
    <w:rsid w:val="002816B2"/>
    <w:rsid w:val="002822F8"/>
    <w:rsid w:val="002853FD"/>
    <w:rsid w:val="002902A1"/>
    <w:rsid w:val="00291A9C"/>
    <w:rsid w:val="00292D2E"/>
    <w:rsid w:val="00294DD3"/>
    <w:rsid w:val="002A0C93"/>
    <w:rsid w:val="002A3D9C"/>
    <w:rsid w:val="002A5DE8"/>
    <w:rsid w:val="002A69D6"/>
    <w:rsid w:val="002C14EE"/>
    <w:rsid w:val="002C45CD"/>
    <w:rsid w:val="002C48FD"/>
    <w:rsid w:val="002C7036"/>
    <w:rsid w:val="002C7CB9"/>
    <w:rsid w:val="002D47B3"/>
    <w:rsid w:val="002E5ED5"/>
    <w:rsid w:val="003000BC"/>
    <w:rsid w:val="00300DC2"/>
    <w:rsid w:val="00301C06"/>
    <w:rsid w:val="00306E26"/>
    <w:rsid w:val="0031135E"/>
    <w:rsid w:val="00312464"/>
    <w:rsid w:val="003166B2"/>
    <w:rsid w:val="003173CB"/>
    <w:rsid w:val="0032196F"/>
    <w:rsid w:val="00327E55"/>
    <w:rsid w:val="00327F8B"/>
    <w:rsid w:val="00327FBE"/>
    <w:rsid w:val="00333133"/>
    <w:rsid w:val="00334B3B"/>
    <w:rsid w:val="00336484"/>
    <w:rsid w:val="003372A9"/>
    <w:rsid w:val="003445CE"/>
    <w:rsid w:val="00346E70"/>
    <w:rsid w:val="00353C54"/>
    <w:rsid w:val="00362B96"/>
    <w:rsid w:val="003751C3"/>
    <w:rsid w:val="003770CC"/>
    <w:rsid w:val="00380766"/>
    <w:rsid w:val="00382B47"/>
    <w:rsid w:val="00386BE6"/>
    <w:rsid w:val="0038751B"/>
    <w:rsid w:val="00391DA8"/>
    <w:rsid w:val="00392E71"/>
    <w:rsid w:val="00394656"/>
    <w:rsid w:val="00394694"/>
    <w:rsid w:val="00397F1D"/>
    <w:rsid w:val="003A1FD8"/>
    <w:rsid w:val="003A75ED"/>
    <w:rsid w:val="003B3C0E"/>
    <w:rsid w:val="003B6BC6"/>
    <w:rsid w:val="003C1BFF"/>
    <w:rsid w:val="003C1E85"/>
    <w:rsid w:val="003C3CBF"/>
    <w:rsid w:val="003D2C97"/>
    <w:rsid w:val="003D334A"/>
    <w:rsid w:val="003D5E38"/>
    <w:rsid w:val="003D65B0"/>
    <w:rsid w:val="003E19FD"/>
    <w:rsid w:val="003E1A40"/>
    <w:rsid w:val="003E2C2F"/>
    <w:rsid w:val="003E4869"/>
    <w:rsid w:val="003F20CF"/>
    <w:rsid w:val="003F324C"/>
    <w:rsid w:val="003F4C97"/>
    <w:rsid w:val="003F6572"/>
    <w:rsid w:val="003F7548"/>
    <w:rsid w:val="003F755F"/>
    <w:rsid w:val="00400899"/>
    <w:rsid w:val="0040217A"/>
    <w:rsid w:val="00403968"/>
    <w:rsid w:val="00404031"/>
    <w:rsid w:val="004047CF"/>
    <w:rsid w:val="0040547F"/>
    <w:rsid w:val="00407A07"/>
    <w:rsid w:val="0041273E"/>
    <w:rsid w:val="00423546"/>
    <w:rsid w:val="004247EB"/>
    <w:rsid w:val="00425681"/>
    <w:rsid w:val="00427770"/>
    <w:rsid w:val="00427C4F"/>
    <w:rsid w:val="00432A2C"/>
    <w:rsid w:val="00442498"/>
    <w:rsid w:val="00445B10"/>
    <w:rsid w:val="00450598"/>
    <w:rsid w:val="00462FF1"/>
    <w:rsid w:val="004663FB"/>
    <w:rsid w:val="00470240"/>
    <w:rsid w:val="00474850"/>
    <w:rsid w:val="0048151C"/>
    <w:rsid w:val="00482D4E"/>
    <w:rsid w:val="004934DF"/>
    <w:rsid w:val="00495AA0"/>
    <w:rsid w:val="004A1D11"/>
    <w:rsid w:val="004A50D5"/>
    <w:rsid w:val="004B4A0F"/>
    <w:rsid w:val="004C1E4B"/>
    <w:rsid w:val="004C21CE"/>
    <w:rsid w:val="004C6440"/>
    <w:rsid w:val="004C7F30"/>
    <w:rsid w:val="004D61CF"/>
    <w:rsid w:val="004D6790"/>
    <w:rsid w:val="004D6B96"/>
    <w:rsid w:val="004D6ED4"/>
    <w:rsid w:val="004E7F90"/>
    <w:rsid w:val="004F13CC"/>
    <w:rsid w:val="004F1420"/>
    <w:rsid w:val="004F4773"/>
    <w:rsid w:val="0050129B"/>
    <w:rsid w:val="0050261F"/>
    <w:rsid w:val="00511345"/>
    <w:rsid w:val="00512B3E"/>
    <w:rsid w:val="00513677"/>
    <w:rsid w:val="0051771C"/>
    <w:rsid w:val="00520BC8"/>
    <w:rsid w:val="00522FF0"/>
    <w:rsid w:val="005265EB"/>
    <w:rsid w:val="0053012F"/>
    <w:rsid w:val="00533300"/>
    <w:rsid w:val="00542758"/>
    <w:rsid w:val="00546705"/>
    <w:rsid w:val="00546910"/>
    <w:rsid w:val="00546AF3"/>
    <w:rsid w:val="005562AC"/>
    <w:rsid w:val="0055685A"/>
    <w:rsid w:val="00564B9E"/>
    <w:rsid w:val="00567213"/>
    <w:rsid w:val="00571144"/>
    <w:rsid w:val="00572F88"/>
    <w:rsid w:val="00572FAA"/>
    <w:rsid w:val="0057314D"/>
    <w:rsid w:val="00577ED6"/>
    <w:rsid w:val="00584430"/>
    <w:rsid w:val="005873A8"/>
    <w:rsid w:val="00587D2D"/>
    <w:rsid w:val="00587F7E"/>
    <w:rsid w:val="005977ED"/>
    <w:rsid w:val="005B0CEF"/>
    <w:rsid w:val="005B274A"/>
    <w:rsid w:val="005B74BA"/>
    <w:rsid w:val="005C05C4"/>
    <w:rsid w:val="005C2B2D"/>
    <w:rsid w:val="005C51A9"/>
    <w:rsid w:val="005C694F"/>
    <w:rsid w:val="005D1301"/>
    <w:rsid w:val="005D3497"/>
    <w:rsid w:val="005D3C37"/>
    <w:rsid w:val="005D483A"/>
    <w:rsid w:val="005D56B3"/>
    <w:rsid w:val="005D6DDE"/>
    <w:rsid w:val="005E13FC"/>
    <w:rsid w:val="005E15E3"/>
    <w:rsid w:val="005E291F"/>
    <w:rsid w:val="005E56A8"/>
    <w:rsid w:val="005E69D1"/>
    <w:rsid w:val="005E6A20"/>
    <w:rsid w:val="005F0309"/>
    <w:rsid w:val="005F4DD9"/>
    <w:rsid w:val="005F6904"/>
    <w:rsid w:val="006005D1"/>
    <w:rsid w:val="00606EA6"/>
    <w:rsid w:val="00607BA9"/>
    <w:rsid w:val="00617366"/>
    <w:rsid w:val="00622030"/>
    <w:rsid w:val="0062284E"/>
    <w:rsid w:val="00624B0A"/>
    <w:rsid w:val="00627683"/>
    <w:rsid w:val="00630F9D"/>
    <w:rsid w:val="00637FD5"/>
    <w:rsid w:val="00641A9B"/>
    <w:rsid w:val="006505CB"/>
    <w:rsid w:val="0065117B"/>
    <w:rsid w:val="00651A1D"/>
    <w:rsid w:val="006620C7"/>
    <w:rsid w:val="00662DC3"/>
    <w:rsid w:val="00663194"/>
    <w:rsid w:val="006631C4"/>
    <w:rsid w:val="006646B5"/>
    <w:rsid w:val="00667C96"/>
    <w:rsid w:val="0067399B"/>
    <w:rsid w:val="00674989"/>
    <w:rsid w:val="006768F6"/>
    <w:rsid w:val="00677865"/>
    <w:rsid w:val="00685B01"/>
    <w:rsid w:val="00687C2B"/>
    <w:rsid w:val="00687E45"/>
    <w:rsid w:val="00687F62"/>
    <w:rsid w:val="006964EF"/>
    <w:rsid w:val="006C0EE8"/>
    <w:rsid w:val="006C2BA9"/>
    <w:rsid w:val="006C53EB"/>
    <w:rsid w:val="006D1F23"/>
    <w:rsid w:val="006D6303"/>
    <w:rsid w:val="006D7BD2"/>
    <w:rsid w:val="006E17D6"/>
    <w:rsid w:val="006E4C9E"/>
    <w:rsid w:val="006E5E3D"/>
    <w:rsid w:val="006E696C"/>
    <w:rsid w:val="006F44DF"/>
    <w:rsid w:val="006F5A1C"/>
    <w:rsid w:val="00701E6C"/>
    <w:rsid w:val="007073DE"/>
    <w:rsid w:val="00720E52"/>
    <w:rsid w:val="00733286"/>
    <w:rsid w:val="00747146"/>
    <w:rsid w:val="00747619"/>
    <w:rsid w:val="00752584"/>
    <w:rsid w:val="007536B0"/>
    <w:rsid w:val="00753AE9"/>
    <w:rsid w:val="0077549D"/>
    <w:rsid w:val="00780551"/>
    <w:rsid w:val="007927AC"/>
    <w:rsid w:val="00792A90"/>
    <w:rsid w:val="007952A7"/>
    <w:rsid w:val="007A165A"/>
    <w:rsid w:val="007C7705"/>
    <w:rsid w:val="007D2B91"/>
    <w:rsid w:val="007D54C2"/>
    <w:rsid w:val="007E685A"/>
    <w:rsid w:val="007E7137"/>
    <w:rsid w:val="007F66EF"/>
    <w:rsid w:val="008020A3"/>
    <w:rsid w:val="00807692"/>
    <w:rsid w:val="00807767"/>
    <w:rsid w:val="0081281E"/>
    <w:rsid w:val="00821310"/>
    <w:rsid w:val="00822E26"/>
    <w:rsid w:val="00825E5A"/>
    <w:rsid w:val="008311FD"/>
    <w:rsid w:val="00832835"/>
    <w:rsid w:val="00841BE8"/>
    <w:rsid w:val="00844BF1"/>
    <w:rsid w:val="00846066"/>
    <w:rsid w:val="008503EC"/>
    <w:rsid w:val="008566B4"/>
    <w:rsid w:val="00857C11"/>
    <w:rsid w:val="0086212A"/>
    <w:rsid w:val="00862A1B"/>
    <w:rsid w:val="00863DC6"/>
    <w:rsid w:val="00866714"/>
    <w:rsid w:val="00867AAD"/>
    <w:rsid w:val="00870377"/>
    <w:rsid w:val="00873DDB"/>
    <w:rsid w:val="0088177A"/>
    <w:rsid w:val="00883975"/>
    <w:rsid w:val="00887216"/>
    <w:rsid w:val="00893053"/>
    <w:rsid w:val="008A3918"/>
    <w:rsid w:val="008A4B5C"/>
    <w:rsid w:val="008A6BAA"/>
    <w:rsid w:val="008C0FF7"/>
    <w:rsid w:val="008C1296"/>
    <w:rsid w:val="008C16A6"/>
    <w:rsid w:val="008C1F09"/>
    <w:rsid w:val="008C284D"/>
    <w:rsid w:val="008D096A"/>
    <w:rsid w:val="008D1748"/>
    <w:rsid w:val="008D2C82"/>
    <w:rsid w:val="008D4D33"/>
    <w:rsid w:val="008D7703"/>
    <w:rsid w:val="008E0C46"/>
    <w:rsid w:val="008E1B83"/>
    <w:rsid w:val="008E423D"/>
    <w:rsid w:val="008E459D"/>
    <w:rsid w:val="008E6622"/>
    <w:rsid w:val="008F2B07"/>
    <w:rsid w:val="00901C6A"/>
    <w:rsid w:val="00904F13"/>
    <w:rsid w:val="009058CA"/>
    <w:rsid w:val="009253A6"/>
    <w:rsid w:val="0093447C"/>
    <w:rsid w:val="00934C77"/>
    <w:rsid w:val="0093677E"/>
    <w:rsid w:val="00950C39"/>
    <w:rsid w:val="00955F0A"/>
    <w:rsid w:val="00961D08"/>
    <w:rsid w:val="009639EC"/>
    <w:rsid w:val="00966675"/>
    <w:rsid w:val="0097003A"/>
    <w:rsid w:val="0097111A"/>
    <w:rsid w:val="0097390D"/>
    <w:rsid w:val="0097456B"/>
    <w:rsid w:val="00977545"/>
    <w:rsid w:val="00984465"/>
    <w:rsid w:val="009874FA"/>
    <w:rsid w:val="00990734"/>
    <w:rsid w:val="009925FC"/>
    <w:rsid w:val="0099350B"/>
    <w:rsid w:val="00996D40"/>
    <w:rsid w:val="00996F31"/>
    <w:rsid w:val="009A7611"/>
    <w:rsid w:val="009B2E2D"/>
    <w:rsid w:val="009B5584"/>
    <w:rsid w:val="009B5D21"/>
    <w:rsid w:val="009B6E37"/>
    <w:rsid w:val="009C5D33"/>
    <w:rsid w:val="009D1384"/>
    <w:rsid w:val="009D3CE6"/>
    <w:rsid w:val="009E00F6"/>
    <w:rsid w:val="009E1272"/>
    <w:rsid w:val="009E15FC"/>
    <w:rsid w:val="009E4E4C"/>
    <w:rsid w:val="009E5D55"/>
    <w:rsid w:val="009E6761"/>
    <w:rsid w:val="009E6F34"/>
    <w:rsid w:val="009E7876"/>
    <w:rsid w:val="009F7064"/>
    <w:rsid w:val="009F7671"/>
    <w:rsid w:val="00A017A3"/>
    <w:rsid w:val="00A01ACC"/>
    <w:rsid w:val="00A01CC2"/>
    <w:rsid w:val="00A02D07"/>
    <w:rsid w:val="00A105E0"/>
    <w:rsid w:val="00A11BC3"/>
    <w:rsid w:val="00A16AC7"/>
    <w:rsid w:val="00A24F12"/>
    <w:rsid w:val="00A26338"/>
    <w:rsid w:val="00A27FED"/>
    <w:rsid w:val="00A31C35"/>
    <w:rsid w:val="00A40B94"/>
    <w:rsid w:val="00A420EB"/>
    <w:rsid w:val="00A43B5B"/>
    <w:rsid w:val="00A44FA4"/>
    <w:rsid w:val="00A573D0"/>
    <w:rsid w:val="00A61A4D"/>
    <w:rsid w:val="00A61ACF"/>
    <w:rsid w:val="00A63B49"/>
    <w:rsid w:val="00A73E44"/>
    <w:rsid w:val="00A759B2"/>
    <w:rsid w:val="00A84095"/>
    <w:rsid w:val="00A853E0"/>
    <w:rsid w:val="00A86414"/>
    <w:rsid w:val="00A873BB"/>
    <w:rsid w:val="00A87EAD"/>
    <w:rsid w:val="00A92607"/>
    <w:rsid w:val="00A929B2"/>
    <w:rsid w:val="00A93B0D"/>
    <w:rsid w:val="00A94B15"/>
    <w:rsid w:val="00AA053B"/>
    <w:rsid w:val="00AA379F"/>
    <w:rsid w:val="00AA5CE3"/>
    <w:rsid w:val="00AB20D2"/>
    <w:rsid w:val="00AB7A6D"/>
    <w:rsid w:val="00AC1B60"/>
    <w:rsid w:val="00AC32BD"/>
    <w:rsid w:val="00AC5B07"/>
    <w:rsid w:val="00AC6DB4"/>
    <w:rsid w:val="00AD47A8"/>
    <w:rsid w:val="00AD76D5"/>
    <w:rsid w:val="00AE2665"/>
    <w:rsid w:val="00AE4C66"/>
    <w:rsid w:val="00AE7671"/>
    <w:rsid w:val="00B064A3"/>
    <w:rsid w:val="00B06913"/>
    <w:rsid w:val="00B07CE2"/>
    <w:rsid w:val="00B1037C"/>
    <w:rsid w:val="00B10F11"/>
    <w:rsid w:val="00B1121B"/>
    <w:rsid w:val="00B11B0D"/>
    <w:rsid w:val="00B11DE4"/>
    <w:rsid w:val="00B11F06"/>
    <w:rsid w:val="00B17753"/>
    <w:rsid w:val="00B24B6B"/>
    <w:rsid w:val="00B24FCE"/>
    <w:rsid w:val="00B255FE"/>
    <w:rsid w:val="00B3063F"/>
    <w:rsid w:val="00B341DD"/>
    <w:rsid w:val="00B425CC"/>
    <w:rsid w:val="00B474C4"/>
    <w:rsid w:val="00B5089D"/>
    <w:rsid w:val="00B52111"/>
    <w:rsid w:val="00B553EF"/>
    <w:rsid w:val="00B63CF9"/>
    <w:rsid w:val="00B64257"/>
    <w:rsid w:val="00B703BF"/>
    <w:rsid w:val="00B7467D"/>
    <w:rsid w:val="00B7785C"/>
    <w:rsid w:val="00B804DF"/>
    <w:rsid w:val="00B84D4B"/>
    <w:rsid w:val="00B8630B"/>
    <w:rsid w:val="00B865A7"/>
    <w:rsid w:val="00B91DD7"/>
    <w:rsid w:val="00B97BD2"/>
    <w:rsid w:val="00BA2EC8"/>
    <w:rsid w:val="00BA5610"/>
    <w:rsid w:val="00BA58F1"/>
    <w:rsid w:val="00BB1589"/>
    <w:rsid w:val="00BB2625"/>
    <w:rsid w:val="00BB4EC4"/>
    <w:rsid w:val="00BC11D0"/>
    <w:rsid w:val="00BE6A42"/>
    <w:rsid w:val="00BE7229"/>
    <w:rsid w:val="00BF6D33"/>
    <w:rsid w:val="00C06BAC"/>
    <w:rsid w:val="00C11C7E"/>
    <w:rsid w:val="00C200E5"/>
    <w:rsid w:val="00C220D7"/>
    <w:rsid w:val="00C26406"/>
    <w:rsid w:val="00C300BF"/>
    <w:rsid w:val="00C345B3"/>
    <w:rsid w:val="00C475DF"/>
    <w:rsid w:val="00C5093C"/>
    <w:rsid w:val="00C60607"/>
    <w:rsid w:val="00C662AC"/>
    <w:rsid w:val="00C7157E"/>
    <w:rsid w:val="00C74098"/>
    <w:rsid w:val="00C80735"/>
    <w:rsid w:val="00C8139A"/>
    <w:rsid w:val="00C82A75"/>
    <w:rsid w:val="00C87013"/>
    <w:rsid w:val="00C92278"/>
    <w:rsid w:val="00C931B8"/>
    <w:rsid w:val="00C948A6"/>
    <w:rsid w:val="00CA085E"/>
    <w:rsid w:val="00CA325E"/>
    <w:rsid w:val="00CA746A"/>
    <w:rsid w:val="00CB18C4"/>
    <w:rsid w:val="00CB227A"/>
    <w:rsid w:val="00CC0E7D"/>
    <w:rsid w:val="00CC0F10"/>
    <w:rsid w:val="00CD0CBF"/>
    <w:rsid w:val="00CD415A"/>
    <w:rsid w:val="00CD558C"/>
    <w:rsid w:val="00CD5A4F"/>
    <w:rsid w:val="00CE4D8C"/>
    <w:rsid w:val="00CE6638"/>
    <w:rsid w:val="00CF0DAC"/>
    <w:rsid w:val="00CF10C7"/>
    <w:rsid w:val="00CF5072"/>
    <w:rsid w:val="00D00388"/>
    <w:rsid w:val="00D0131C"/>
    <w:rsid w:val="00D065BE"/>
    <w:rsid w:val="00D074F5"/>
    <w:rsid w:val="00D11286"/>
    <w:rsid w:val="00D12484"/>
    <w:rsid w:val="00D171A3"/>
    <w:rsid w:val="00D172E7"/>
    <w:rsid w:val="00D20670"/>
    <w:rsid w:val="00D223A7"/>
    <w:rsid w:val="00D22F7A"/>
    <w:rsid w:val="00D23B93"/>
    <w:rsid w:val="00D24A73"/>
    <w:rsid w:val="00D27984"/>
    <w:rsid w:val="00D3765D"/>
    <w:rsid w:val="00D37EA3"/>
    <w:rsid w:val="00D47EA8"/>
    <w:rsid w:val="00D52BDF"/>
    <w:rsid w:val="00D536B4"/>
    <w:rsid w:val="00D61686"/>
    <w:rsid w:val="00D668E3"/>
    <w:rsid w:val="00D72E72"/>
    <w:rsid w:val="00D92CA3"/>
    <w:rsid w:val="00D93B90"/>
    <w:rsid w:val="00D9544A"/>
    <w:rsid w:val="00D96CBB"/>
    <w:rsid w:val="00DA61AE"/>
    <w:rsid w:val="00DB5660"/>
    <w:rsid w:val="00DB5783"/>
    <w:rsid w:val="00DB7AB3"/>
    <w:rsid w:val="00DC2071"/>
    <w:rsid w:val="00DC724A"/>
    <w:rsid w:val="00DC7390"/>
    <w:rsid w:val="00DD17D0"/>
    <w:rsid w:val="00DD3A7D"/>
    <w:rsid w:val="00DD511E"/>
    <w:rsid w:val="00DD73B5"/>
    <w:rsid w:val="00DE67DB"/>
    <w:rsid w:val="00DE7D2F"/>
    <w:rsid w:val="00DE7F0B"/>
    <w:rsid w:val="00E01946"/>
    <w:rsid w:val="00E02A55"/>
    <w:rsid w:val="00E03598"/>
    <w:rsid w:val="00E049CF"/>
    <w:rsid w:val="00E0525A"/>
    <w:rsid w:val="00E05A30"/>
    <w:rsid w:val="00E21523"/>
    <w:rsid w:val="00E21740"/>
    <w:rsid w:val="00E263D1"/>
    <w:rsid w:val="00E27833"/>
    <w:rsid w:val="00E31CC1"/>
    <w:rsid w:val="00E321A1"/>
    <w:rsid w:val="00E43F95"/>
    <w:rsid w:val="00E44C54"/>
    <w:rsid w:val="00E4644D"/>
    <w:rsid w:val="00E518C1"/>
    <w:rsid w:val="00E539EF"/>
    <w:rsid w:val="00E5694D"/>
    <w:rsid w:val="00E56F9A"/>
    <w:rsid w:val="00E57F93"/>
    <w:rsid w:val="00E63278"/>
    <w:rsid w:val="00E73B4E"/>
    <w:rsid w:val="00E81AD2"/>
    <w:rsid w:val="00E82C72"/>
    <w:rsid w:val="00E87557"/>
    <w:rsid w:val="00E94C90"/>
    <w:rsid w:val="00E9733C"/>
    <w:rsid w:val="00EA53ED"/>
    <w:rsid w:val="00EB0D81"/>
    <w:rsid w:val="00EB1CDF"/>
    <w:rsid w:val="00EB59AB"/>
    <w:rsid w:val="00ED7022"/>
    <w:rsid w:val="00ED763D"/>
    <w:rsid w:val="00EE4E2E"/>
    <w:rsid w:val="00EE5E44"/>
    <w:rsid w:val="00F0246F"/>
    <w:rsid w:val="00F06033"/>
    <w:rsid w:val="00F06170"/>
    <w:rsid w:val="00F06F8B"/>
    <w:rsid w:val="00F1271A"/>
    <w:rsid w:val="00F129E7"/>
    <w:rsid w:val="00F24998"/>
    <w:rsid w:val="00F354F9"/>
    <w:rsid w:val="00F40A21"/>
    <w:rsid w:val="00F41B8D"/>
    <w:rsid w:val="00F42010"/>
    <w:rsid w:val="00F45D6D"/>
    <w:rsid w:val="00F47FB7"/>
    <w:rsid w:val="00F532B3"/>
    <w:rsid w:val="00F5337B"/>
    <w:rsid w:val="00F567C8"/>
    <w:rsid w:val="00F60AE2"/>
    <w:rsid w:val="00F6335A"/>
    <w:rsid w:val="00F76AA9"/>
    <w:rsid w:val="00F80837"/>
    <w:rsid w:val="00F83741"/>
    <w:rsid w:val="00F91499"/>
    <w:rsid w:val="00F95B5E"/>
    <w:rsid w:val="00F96C3E"/>
    <w:rsid w:val="00FA0089"/>
    <w:rsid w:val="00FA0D93"/>
    <w:rsid w:val="00FA2F46"/>
    <w:rsid w:val="00FA7967"/>
    <w:rsid w:val="00FB22D7"/>
    <w:rsid w:val="00FB2312"/>
    <w:rsid w:val="00FB2411"/>
    <w:rsid w:val="00FB5544"/>
    <w:rsid w:val="00FB60C6"/>
    <w:rsid w:val="00FB7DCB"/>
    <w:rsid w:val="00FC1228"/>
    <w:rsid w:val="00FC5FD8"/>
    <w:rsid w:val="00FC6CF8"/>
    <w:rsid w:val="00FD612C"/>
    <w:rsid w:val="00FE04E4"/>
    <w:rsid w:val="00FE2B13"/>
    <w:rsid w:val="00FE54B4"/>
    <w:rsid w:val="00FF34E5"/>
    <w:rsid w:val="00FF3CDB"/>
    <w:rsid w:val="00FF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3C"/>
    <w:rPr>
      <w:rFonts w:eastAsia="Times New Roman" w:cs="Times New Roman"/>
      <w:sz w:val="24"/>
    </w:rPr>
  </w:style>
  <w:style w:type="paragraph" w:styleId="Heading1">
    <w:name w:val="heading 1"/>
    <w:basedOn w:val="Normal"/>
    <w:next w:val="Normal"/>
    <w:link w:val="Heading1Char"/>
    <w:uiPriority w:val="9"/>
    <w:qFormat/>
    <w:rsid w:val="00DC2071"/>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C2071"/>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2071"/>
    <w:pPr>
      <w:keepNext/>
      <w:keepLines/>
      <w:numPr>
        <w:ilvl w:val="2"/>
        <w:numId w:val="20"/>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C2071"/>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C2071"/>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071"/>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C2071"/>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C2071"/>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2071"/>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33C"/>
    <w:rPr>
      <w:color w:val="0000FF"/>
      <w:u w:val="single"/>
    </w:rPr>
  </w:style>
  <w:style w:type="paragraph" w:styleId="Header">
    <w:name w:val="header"/>
    <w:basedOn w:val="Normal"/>
    <w:link w:val="HeaderChar"/>
    <w:uiPriority w:val="99"/>
    <w:unhideWhenUsed/>
    <w:rsid w:val="00674989"/>
    <w:pPr>
      <w:tabs>
        <w:tab w:val="center" w:pos="4513"/>
        <w:tab w:val="right" w:pos="9026"/>
      </w:tabs>
    </w:pPr>
  </w:style>
  <w:style w:type="character" w:customStyle="1" w:styleId="HeaderChar">
    <w:name w:val="Header Char"/>
    <w:link w:val="Header"/>
    <w:uiPriority w:val="99"/>
    <w:rsid w:val="00674989"/>
    <w:rPr>
      <w:rFonts w:eastAsia="Times New Roman" w:cs="Times New Roman"/>
      <w:szCs w:val="20"/>
      <w:lang w:eastAsia="en-GB"/>
    </w:rPr>
  </w:style>
  <w:style w:type="paragraph" w:styleId="Footer">
    <w:name w:val="footer"/>
    <w:basedOn w:val="Normal"/>
    <w:link w:val="FooterChar"/>
    <w:uiPriority w:val="99"/>
    <w:unhideWhenUsed/>
    <w:rsid w:val="00674989"/>
    <w:pPr>
      <w:tabs>
        <w:tab w:val="center" w:pos="4513"/>
        <w:tab w:val="right" w:pos="9026"/>
      </w:tabs>
    </w:pPr>
  </w:style>
  <w:style w:type="character" w:customStyle="1" w:styleId="FooterChar">
    <w:name w:val="Footer Char"/>
    <w:link w:val="Footer"/>
    <w:uiPriority w:val="99"/>
    <w:rsid w:val="00674989"/>
    <w:rPr>
      <w:rFonts w:eastAsia="Times New Roman" w:cs="Times New Roman"/>
      <w:szCs w:val="20"/>
      <w:lang w:eastAsia="en-GB"/>
    </w:rPr>
  </w:style>
  <w:style w:type="character" w:customStyle="1" w:styleId="apple-converted-space">
    <w:name w:val="apple-converted-space"/>
    <w:basedOn w:val="DefaultParagraphFont"/>
    <w:rsid w:val="001C2870"/>
  </w:style>
  <w:style w:type="paragraph" w:styleId="ListParagraph">
    <w:name w:val="List Paragraph"/>
    <w:basedOn w:val="Normal"/>
    <w:uiPriority w:val="34"/>
    <w:qFormat/>
    <w:rsid w:val="001C2870"/>
    <w:pPr>
      <w:ind w:left="720"/>
      <w:contextualSpacing/>
    </w:pPr>
  </w:style>
  <w:style w:type="paragraph" w:styleId="BalloonText">
    <w:name w:val="Balloon Text"/>
    <w:basedOn w:val="Normal"/>
    <w:link w:val="BalloonTextChar"/>
    <w:uiPriority w:val="99"/>
    <w:semiHidden/>
    <w:unhideWhenUsed/>
    <w:rsid w:val="000E58AC"/>
    <w:rPr>
      <w:rFonts w:ascii="Tahoma" w:hAnsi="Tahoma" w:cs="Tahoma"/>
      <w:sz w:val="16"/>
      <w:szCs w:val="16"/>
    </w:rPr>
  </w:style>
  <w:style w:type="character" w:customStyle="1" w:styleId="BalloonTextChar">
    <w:name w:val="Balloon Text Char"/>
    <w:basedOn w:val="DefaultParagraphFont"/>
    <w:link w:val="BalloonText"/>
    <w:uiPriority w:val="99"/>
    <w:semiHidden/>
    <w:rsid w:val="000E58AC"/>
    <w:rPr>
      <w:rFonts w:ascii="Tahoma" w:eastAsia="Times New Roman" w:hAnsi="Tahoma" w:cs="Tahoma"/>
      <w:sz w:val="16"/>
      <w:szCs w:val="16"/>
    </w:rPr>
  </w:style>
  <w:style w:type="table" w:styleId="TableGrid">
    <w:name w:val="Table Grid"/>
    <w:basedOn w:val="TableNormal"/>
    <w:uiPriority w:val="99"/>
    <w:rsid w:val="0067786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78B"/>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69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20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C20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20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2071"/>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DC2071"/>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DC2071"/>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C207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DC20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207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BA2EC8"/>
    <w:pPr>
      <w:spacing w:after="200"/>
    </w:pPr>
    <w:rPr>
      <w:b/>
      <w:bCs/>
      <w:color w:val="4F81BD" w:themeColor="accent1"/>
      <w:sz w:val="18"/>
      <w:szCs w:val="18"/>
    </w:rPr>
  </w:style>
  <w:style w:type="paragraph" w:styleId="Revision">
    <w:name w:val="Revision"/>
    <w:hidden/>
    <w:uiPriority w:val="99"/>
    <w:semiHidden/>
    <w:rsid w:val="009639EC"/>
    <w:rPr>
      <w:rFonts w:eastAsia="Times New Roman" w:cs="Times New Roman"/>
      <w:sz w:val="24"/>
    </w:rPr>
  </w:style>
  <w:style w:type="paragraph" w:customStyle="1" w:styleId="Default">
    <w:name w:val="Default"/>
    <w:rsid w:val="00A24F1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C2479"/>
    <w:rPr>
      <w:sz w:val="16"/>
      <w:szCs w:val="16"/>
    </w:rPr>
  </w:style>
  <w:style w:type="paragraph" w:styleId="CommentText">
    <w:name w:val="annotation text"/>
    <w:basedOn w:val="Normal"/>
    <w:link w:val="CommentTextChar"/>
    <w:uiPriority w:val="99"/>
    <w:semiHidden/>
    <w:unhideWhenUsed/>
    <w:rsid w:val="001C2479"/>
    <w:rPr>
      <w:sz w:val="20"/>
    </w:rPr>
  </w:style>
  <w:style w:type="character" w:customStyle="1" w:styleId="CommentTextChar">
    <w:name w:val="Comment Text Char"/>
    <w:basedOn w:val="DefaultParagraphFont"/>
    <w:link w:val="CommentText"/>
    <w:uiPriority w:val="99"/>
    <w:semiHidden/>
    <w:rsid w:val="001C2479"/>
    <w:rPr>
      <w:rFonts w:eastAsia="Times New Roman" w:cs="Times New Roman"/>
    </w:rPr>
  </w:style>
  <w:style w:type="paragraph" w:styleId="CommentSubject">
    <w:name w:val="annotation subject"/>
    <w:basedOn w:val="CommentText"/>
    <w:next w:val="CommentText"/>
    <w:link w:val="CommentSubjectChar"/>
    <w:uiPriority w:val="99"/>
    <w:semiHidden/>
    <w:unhideWhenUsed/>
    <w:rsid w:val="001C2479"/>
    <w:rPr>
      <w:b/>
      <w:bCs/>
    </w:rPr>
  </w:style>
  <w:style w:type="character" w:customStyle="1" w:styleId="CommentSubjectChar">
    <w:name w:val="Comment Subject Char"/>
    <w:basedOn w:val="CommentTextChar"/>
    <w:link w:val="CommentSubject"/>
    <w:uiPriority w:val="99"/>
    <w:semiHidden/>
    <w:rsid w:val="001C2479"/>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3C"/>
    <w:rPr>
      <w:rFonts w:eastAsia="Times New Roman" w:cs="Times New Roman"/>
      <w:sz w:val="24"/>
    </w:rPr>
  </w:style>
  <w:style w:type="paragraph" w:styleId="Heading1">
    <w:name w:val="heading 1"/>
    <w:basedOn w:val="Normal"/>
    <w:next w:val="Normal"/>
    <w:link w:val="Heading1Char"/>
    <w:uiPriority w:val="9"/>
    <w:qFormat/>
    <w:rsid w:val="00DC2071"/>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C2071"/>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2071"/>
    <w:pPr>
      <w:keepNext/>
      <w:keepLines/>
      <w:numPr>
        <w:ilvl w:val="2"/>
        <w:numId w:val="20"/>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C2071"/>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C2071"/>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071"/>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C2071"/>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C2071"/>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2071"/>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33C"/>
    <w:rPr>
      <w:color w:val="0000FF"/>
      <w:u w:val="single"/>
    </w:rPr>
  </w:style>
  <w:style w:type="paragraph" w:styleId="Header">
    <w:name w:val="header"/>
    <w:basedOn w:val="Normal"/>
    <w:link w:val="HeaderChar"/>
    <w:uiPriority w:val="99"/>
    <w:unhideWhenUsed/>
    <w:rsid w:val="00674989"/>
    <w:pPr>
      <w:tabs>
        <w:tab w:val="center" w:pos="4513"/>
        <w:tab w:val="right" w:pos="9026"/>
      </w:tabs>
    </w:pPr>
  </w:style>
  <w:style w:type="character" w:customStyle="1" w:styleId="HeaderChar">
    <w:name w:val="Header Char"/>
    <w:link w:val="Header"/>
    <w:uiPriority w:val="99"/>
    <w:rsid w:val="00674989"/>
    <w:rPr>
      <w:rFonts w:eastAsia="Times New Roman" w:cs="Times New Roman"/>
      <w:szCs w:val="20"/>
      <w:lang w:eastAsia="en-GB"/>
    </w:rPr>
  </w:style>
  <w:style w:type="paragraph" w:styleId="Footer">
    <w:name w:val="footer"/>
    <w:basedOn w:val="Normal"/>
    <w:link w:val="FooterChar"/>
    <w:uiPriority w:val="99"/>
    <w:unhideWhenUsed/>
    <w:rsid w:val="00674989"/>
    <w:pPr>
      <w:tabs>
        <w:tab w:val="center" w:pos="4513"/>
        <w:tab w:val="right" w:pos="9026"/>
      </w:tabs>
    </w:pPr>
  </w:style>
  <w:style w:type="character" w:customStyle="1" w:styleId="FooterChar">
    <w:name w:val="Footer Char"/>
    <w:link w:val="Footer"/>
    <w:uiPriority w:val="99"/>
    <w:rsid w:val="00674989"/>
    <w:rPr>
      <w:rFonts w:eastAsia="Times New Roman" w:cs="Times New Roman"/>
      <w:szCs w:val="20"/>
      <w:lang w:eastAsia="en-GB"/>
    </w:rPr>
  </w:style>
  <w:style w:type="character" w:customStyle="1" w:styleId="apple-converted-space">
    <w:name w:val="apple-converted-space"/>
    <w:basedOn w:val="DefaultParagraphFont"/>
    <w:rsid w:val="001C2870"/>
  </w:style>
  <w:style w:type="paragraph" w:styleId="ListParagraph">
    <w:name w:val="List Paragraph"/>
    <w:basedOn w:val="Normal"/>
    <w:uiPriority w:val="34"/>
    <w:qFormat/>
    <w:rsid w:val="001C2870"/>
    <w:pPr>
      <w:ind w:left="720"/>
      <w:contextualSpacing/>
    </w:pPr>
  </w:style>
  <w:style w:type="paragraph" w:styleId="BalloonText">
    <w:name w:val="Balloon Text"/>
    <w:basedOn w:val="Normal"/>
    <w:link w:val="BalloonTextChar"/>
    <w:uiPriority w:val="99"/>
    <w:semiHidden/>
    <w:unhideWhenUsed/>
    <w:rsid w:val="000E58AC"/>
    <w:rPr>
      <w:rFonts w:ascii="Tahoma" w:hAnsi="Tahoma" w:cs="Tahoma"/>
      <w:sz w:val="16"/>
      <w:szCs w:val="16"/>
    </w:rPr>
  </w:style>
  <w:style w:type="character" w:customStyle="1" w:styleId="BalloonTextChar">
    <w:name w:val="Balloon Text Char"/>
    <w:basedOn w:val="DefaultParagraphFont"/>
    <w:link w:val="BalloonText"/>
    <w:uiPriority w:val="99"/>
    <w:semiHidden/>
    <w:rsid w:val="000E58AC"/>
    <w:rPr>
      <w:rFonts w:ascii="Tahoma" w:eastAsia="Times New Roman" w:hAnsi="Tahoma" w:cs="Tahoma"/>
      <w:sz w:val="16"/>
      <w:szCs w:val="16"/>
    </w:rPr>
  </w:style>
  <w:style w:type="table" w:styleId="TableGrid">
    <w:name w:val="Table Grid"/>
    <w:basedOn w:val="TableNormal"/>
    <w:uiPriority w:val="99"/>
    <w:rsid w:val="0067786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78B"/>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69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20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C20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20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2071"/>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DC2071"/>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DC2071"/>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C207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DC20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207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BA2EC8"/>
    <w:pPr>
      <w:spacing w:after="200"/>
    </w:pPr>
    <w:rPr>
      <w:b/>
      <w:bCs/>
      <w:color w:val="4F81BD" w:themeColor="accent1"/>
      <w:sz w:val="18"/>
      <w:szCs w:val="18"/>
    </w:rPr>
  </w:style>
  <w:style w:type="paragraph" w:styleId="Revision">
    <w:name w:val="Revision"/>
    <w:hidden/>
    <w:uiPriority w:val="99"/>
    <w:semiHidden/>
    <w:rsid w:val="009639EC"/>
    <w:rPr>
      <w:rFonts w:eastAsia="Times New Roman" w:cs="Times New Roman"/>
      <w:sz w:val="24"/>
    </w:rPr>
  </w:style>
  <w:style w:type="paragraph" w:customStyle="1" w:styleId="Default">
    <w:name w:val="Default"/>
    <w:rsid w:val="00A24F1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C2479"/>
    <w:rPr>
      <w:sz w:val="16"/>
      <w:szCs w:val="16"/>
    </w:rPr>
  </w:style>
  <w:style w:type="paragraph" w:styleId="CommentText">
    <w:name w:val="annotation text"/>
    <w:basedOn w:val="Normal"/>
    <w:link w:val="CommentTextChar"/>
    <w:uiPriority w:val="99"/>
    <w:semiHidden/>
    <w:unhideWhenUsed/>
    <w:rsid w:val="001C2479"/>
    <w:rPr>
      <w:sz w:val="20"/>
    </w:rPr>
  </w:style>
  <w:style w:type="character" w:customStyle="1" w:styleId="CommentTextChar">
    <w:name w:val="Comment Text Char"/>
    <w:basedOn w:val="DefaultParagraphFont"/>
    <w:link w:val="CommentText"/>
    <w:uiPriority w:val="99"/>
    <w:semiHidden/>
    <w:rsid w:val="001C2479"/>
    <w:rPr>
      <w:rFonts w:eastAsia="Times New Roman" w:cs="Times New Roman"/>
    </w:rPr>
  </w:style>
  <w:style w:type="paragraph" w:styleId="CommentSubject">
    <w:name w:val="annotation subject"/>
    <w:basedOn w:val="CommentText"/>
    <w:next w:val="CommentText"/>
    <w:link w:val="CommentSubjectChar"/>
    <w:uiPriority w:val="99"/>
    <w:semiHidden/>
    <w:unhideWhenUsed/>
    <w:rsid w:val="001C2479"/>
    <w:rPr>
      <w:b/>
      <w:bCs/>
    </w:rPr>
  </w:style>
  <w:style w:type="character" w:customStyle="1" w:styleId="CommentSubjectChar">
    <w:name w:val="Comment Subject Char"/>
    <w:basedOn w:val="CommentTextChar"/>
    <w:link w:val="CommentSubject"/>
    <w:uiPriority w:val="99"/>
    <w:semiHidden/>
    <w:rsid w:val="001C2479"/>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987">
      <w:bodyDiv w:val="1"/>
      <w:marLeft w:val="0"/>
      <w:marRight w:val="0"/>
      <w:marTop w:val="0"/>
      <w:marBottom w:val="0"/>
      <w:divBdr>
        <w:top w:val="none" w:sz="0" w:space="0" w:color="auto"/>
        <w:left w:val="none" w:sz="0" w:space="0" w:color="auto"/>
        <w:bottom w:val="none" w:sz="0" w:space="0" w:color="auto"/>
        <w:right w:val="none" w:sz="0" w:space="0" w:color="auto"/>
      </w:divBdr>
      <w:divsChild>
        <w:div w:id="1982689144">
          <w:marLeft w:val="0"/>
          <w:marRight w:val="0"/>
          <w:marTop w:val="0"/>
          <w:marBottom w:val="0"/>
          <w:divBdr>
            <w:top w:val="none" w:sz="0" w:space="0" w:color="auto"/>
            <w:left w:val="none" w:sz="0" w:space="0" w:color="auto"/>
            <w:bottom w:val="none" w:sz="0" w:space="0" w:color="auto"/>
            <w:right w:val="none" w:sz="0" w:space="0" w:color="auto"/>
          </w:divBdr>
        </w:div>
        <w:div w:id="1739404953">
          <w:marLeft w:val="0"/>
          <w:marRight w:val="0"/>
          <w:marTop w:val="0"/>
          <w:marBottom w:val="0"/>
          <w:divBdr>
            <w:top w:val="none" w:sz="0" w:space="0" w:color="auto"/>
            <w:left w:val="none" w:sz="0" w:space="0" w:color="auto"/>
            <w:bottom w:val="none" w:sz="0" w:space="0" w:color="auto"/>
            <w:right w:val="none" w:sz="0" w:space="0" w:color="auto"/>
          </w:divBdr>
        </w:div>
        <w:div w:id="628165643">
          <w:marLeft w:val="0"/>
          <w:marRight w:val="0"/>
          <w:marTop w:val="0"/>
          <w:marBottom w:val="0"/>
          <w:divBdr>
            <w:top w:val="none" w:sz="0" w:space="0" w:color="auto"/>
            <w:left w:val="none" w:sz="0" w:space="0" w:color="auto"/>
            <w:bottom w:val="none" w:sz="0" w:space="0" w:color="auto"/>
            <w:right w:val="none" w:sz="0" w:space="0" w:color="auto"/>
          </w:divBdr>
        </w:div>
        <w:div w:id="425660050">
          <w:marLeft w:val="0"/>
          <w:marRight w:val="0"/>
          <w:marTop w:val="0"/>
          <w:marBottom w:val="0"/>
          <w:divBdr>
            <w:top w:val="none" w:sz="0" w:space="0" w:color="auto"/>
            <w:left w:val="none" w:sz="0" w:space="0" w:color="auto"/>
            <w:bottom w:val="none" w:sz="0" w:space="0" w:color="auto"/>
            <w:right w:val="none" w:sz="0" w:space="0" w:color="auto"/>
          </w:divBdr>
        </w:div>
        <w:div w:id="58596758">
          <w:marLeft w:val="0"/>
          <w:marRight w:val="0"/>
          <w:marTop w:val="0"/>
          <w:marBottom w:val="0"/>
          <w:divBdr>
            <w:top w:val="none" w:sz="0" w:space="0" w:color="auto"/>
            <w:left w:val="none" w:sz="0" w:space="0" w:color="auto"/>
            <w:bottom w:val="none" w:sz="0" w:space="0" w:color="auto"/>
            <w:right w:val="none" w:sz="0" w:space="0" w:color="auto"/>
          </w:divBdr>
        </w:div>
      </w:divsChild>
    </w:div>
    <w:div w:id="141049887">
      <w:bodyDiv w:val="1"/>
      <w:marLeft w:val="0"/>
      <w:marRight w:val="0"/>
      <w:marTop w:val="0"/>
      <w:marBottom w:val="0"/>
      <w:divBdr>
        <w:top w:val="none" w:sz="0" w:space="0" w:color="auto"/>
        <w:left w:val="none" w:sz="0" w:space="0" w:color="auto"/>
        <w:bottom w:val="none" w:sz="0" w:space="0" w:color="auto"/>
        <w:right w:val="none" w:sz="0" w:space="0" w:color="auto"/>
      </w:divBdr>
      <w:divsChild>
        <w:div w:id="1078988594">
          <w:marLeft w:val="0"/>
          <w:marRight w:val="0"/>
          <w:marTop w:val="0"/>
          <w:marBottom w:val="0"/>
          <w:divBdr>
            <w:top w:val="none" w:sz="0" w:space="0" w:color="auto"/>
            <w:left w:val="none" w:sz="0" w:space="0" w:color="auto"/>
            <w:bottom w:val="none" w:sz="0" w:space="0" w:color="auto"/>
            <w:right w:val="none" w:sz="0" w:space="0" w:color="auto"/>
          </w:divBdr>
          <w:divsChild>
            <w:div w:id="1860662809">
              <w:marLeft w:val="0"/>
              <w:marRight w:val="0"/>
              <w:marTop w:val="0"/>
              <w:marBottom w:val="0"/>
              <w:divBdr>
                <w:top w:val="none" w:sz="0" w:space="0" w:color="auto"/>
                <w:left w:val="none" w:sz="0" w:space="0" w:color="auto"/>
                <w:bottom w:val="none" w:sz="0" w:space="0" w:color="auto"/>
                <w:right w:val="none" w:sz="0" w:space="0" w:color="auto"/>
              </w:divBdr>
              <w:divsChild>
                <w:div w:id="1496842980">
                  <w:marLeft w:val="0"/>
                  <w:marRight w:val="0"/>
                  <w:marTop w:val="0"/>
                  <w:marBottom w:val="0"/>
                  <w:divBdr>
                    <w:top w:val="none" w:sz="0" w:space="0" w:color="auto"/>
                    <w:left w:val="none" w:sz="0" w:space="0" w:color="auto"/>
                    <w:bottom w:val="none" w:sz="0" w:space="0" w:color="auto"/>
                    <w:right w:val="none" w:sz="0" w:space="0" w:color="auto"/>
                  </w:divBdr>
                  <w:divsChild>
                    <w:div w:id="14326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3181">
      <w:bodyDiv w:val="1"/>
      <w:marLeft w:val="0"/>
      <w:marRight w:val="0"/>
      <w:marTop w:val="0"/>
      <w:marBottom w:val="0"/>
      <w:divBdr>
        <w:top w:val="none" w:sz="0" w:space="0" w:color="auto"/>
        <w:left w:val="none" w:sz="0" w:space="0" w:color="auto"/>
        <w:bottom w:val="none" w:sz="0" w:space="0" w:color="auto"/>
        <w:right w:val="none" w:sz="0" w:space="0" w:color="auto"/>
      </w:divBdr>
      <w:divsChild>
        <w:div w:id="1732189668">
          <w:marLeft w:val="0"/>
          <w:marRight w:val="0"/>
          <w:marTop w:val="0"/>
          <w:marBottom w:val="0"/>
          <w:divBdr>
            <w:top w:val="none" w:sz="0" w:space="0" w:color="auto"/>
            <w:left w:val="none" w:sz="0" w:space="0" w:color="auto"/>
            <w:bottom w:val="none" w:sz="0" w:space="0" w:color="auto"/>
            <w:right w:val="none" w:sz="0" w:space="0" w:color="auto"/>
          </w:divBdr>
        </w:div>
        <w:div w:id="876087127">
          <w:marLeft w:val="0"/>
          <w:marRight w:val="0"/>
          <w:marTop w:val="0"/>
          <w:marBottom w:val="0"/>
          <w:divBdr>
            <w:top w:val="none" w:sz="0" w:space="0" w:color="auto"/>
            <w:left w:val="none" w:sz="0" w:space="0" w:color="auto"/>
            <w:bottom w:val="none" w:sz="0" w:space="0" w:color="auto"/>
            <w:right w:val="none" w:sz="0" w:space="0" w:color="auto"/>
          </w:divBdr>
        </w:div>
        <w:div w:id="128329374">
          <w:marLeft w:val="0"/>
          <w:marRight w:val="0"/>
          <w:marTop w:val="0"/>
          <w:marBottom w:val="0"/>
          <w:divBdr>
            <w:top w:val="none" w:sz="0" w:space="0" w:color="auto"/>
            <w:left w:val="none" w:sz="0" w:space="0" w:color="auto"/>
            <w:bottom w:val="none" w:sz="0" w:space="0" w:color="auto"/>
            <w:right w:val="none" w:sz="0" w:space="0" w:color="auto"/>
          </w:divBdr>
        </w:div>
      </w:divsChild>
    </w:div>
    <w:div w:id="181091723">
      <w:bodyDiv w:val="1"/>
      <w:marLeft w:val="0"/>
      <w:marRight w:val="0"/>
      <w:marTop w:val="0"/>
      <w:marBottom w:val="0"/>
      <w:divBdr>
        <w:top w:val="none" w:sz="0" w:space="0" w:color="auto"/>
        <w:left w:val="none" w:sz="0" w:space="0" w:color="auto"/>
        <w:bottom w:val="none" w:sz="0" w:space="0" w:color="auto"/>
        <w:right w:val="none" w:sz="0" w:space="0" w:color="auto"/>
      </w:divBdr>
      <w:divsChild>
        <w:div w:id="2038311754">
          <w:marLeft w:val="0"/>
          <w:marRight w:val="0"/>
          <w:marTop w:val="0"/>
          <w:marBottom w:val="0"/>
          <w:divBdr>
            <w:top w:val="none" w:sz="0" w:space="0" w:color="auto"/>
            <w:left w:val="none" w:sz="0" w:space="0" w:color="auto"/>
            <w:bottom w:val="none" w:sz="0" w:space="0" w:color="auto"/>
            <w:right w:val="none" w:sz="0" w:space="0" w:color="auto"/>
          </w:divBdr>
        </w:div>
        <w:div w:id="1406535724">
          <w:marLeft w:val="0"/>
          <w:marRight w:val="0"/>
          <w:marTop w:val="0"/>
          <w:marBottom w:val="0"/>
          <w:divBdr>
            <w:top w:val="none" w:sz="0" w:space="0" w:color="auto"/>
            <w:left w:val="none" w:sz="0" w:space="0" w:color="auto"/>
            <w:bottom w:val="none" w:sz="0" w:space="0" w:color="auto"/>
            <w:right w:val="none" w:sz="0" w:space="0" w:color="auto"/>
          </w:divBdr>
        </w:div>
        <w:div w:id="29965704">
          <w:marLeft w:val="0"/>
          <w:marRight w:val="0"/>
          <w:marTop w:val="0"/>
          <w:marBottom w:val="0"/>
          <w:divBdr>
            <w:top w:val="none" w:sz="0" w:space="0" w:color="auto"/>
            <w:left w:val="none" w:sz="0" w:space="0" w:color="auto"/>
            <w:bottom w:val="none" w:sz="0" w:space="0" w:color="auto"/>
            <w:right w:val="none" w:sz="0" w:space="0" w:color="auto"/>
          </w:divBdr>
        </w:div>
        <w:div w:id="606692134">
          <w:marLeft w:val="0"/>
          <w:marRight w:val="0"/>
          <w:marTop w:val="0"/>
          <w:marBottom w:val="0"/>
          <w:divBdr>
            <w:top w:val="none" w:sz="0" w:space="0" w:color="auto"/>
            <w:left w:val="none" w:sz="0" w:space="0" w:color="auto"/>
            <w:bottom w:val="none" w:sz="0" w:space="0" w:color="auto"/>
            <w:right w:val="none" w:sz="0" w:space="0" w:color="auto"/>
          </w:divBdr>
        </w:div>
        <w:div w:id="665596338">
          <w:marLeft w:val="0"/>
          <w:marRight w:val="0"/>
          <w:marTop w:val="0"/>
          <w:marBottom w:val="0"/>
          <w:divBdr>
            <w:top w:val="none" w:sz="0" w:space="0" w:color="auto"/>
            <w:left w:val="none" w:sz="0" w:space="0" w:color="auto"/>
            <w:bottom w:val="none" w:sz="0" w:space="0" w:color="auto"/>
            <w:right w:val="none" w:sz="0" w:space="0" w:color="auto"/>
          </w:divBdr>
        </w:div>
      </w:divsChild>
    </w:div>
    <w:div w:id="429353094">
      <w:bodyDiv w:val="1"/>
      <w:marLeft w:val="0"/>
      <w:marRight w:val="0"/>
      <w:marTop w:val="0"/>
      <w:marBottom w:val="0"/>
      <w:divBdr>
        <w:top w:val="none" w:sz="0" w:space="0" w:color="auto"/>
        <w:left w:val="none" w:sz="0" w:space="0" w:color="auto"/>
        <w:bottom w:val="none" w:sz="0" w:space="0" w:color="auto"/>
        <w:right w:val="none" w:sz="0" w:space="0" w:color="auto"/>
      </w:divBdr>
    </w:div>
    <w:div w:id="446967915">
      <w:bodyDiv w:val="1"/>
      <w:marLeft w:val="0"/>
      <w:marRight w:val="0"/>
      <w:marTop w:val="0"/>
      <w:marBottom w:val="0"/>
      <w:divBdr>
        <w:top w:val="none" w:sz="0" w:space="0" w:color="auto"/>
        <w:left w:val="none" w:sz="0" w:space="0" w:color="auto"/>
        <w:bottom w:val="none" w:sz="0" w:space="0" w:color="auto"/>
        <w:right w:val="none" w:sz="0" w:space="0" w:color="auto"/>
      </w:divBdr>
      <w:divsChild>
        <w:div w:id="1298605246">
          <w:marLeft w:val="0"/>
          <w:marRight w:val="0"/>
          <w:marTop w:val="0"/>
          <w:marBottom w:val="0"/>
          <w:divBdr>
            <w:top w:val="none" w:sz="0" w:space="0" w:color="auto"/>
            <w:left w:val="none" w:sz="0" w:space="0" w:color="auto"/>
            <w:bottom w:val="none" w:sz="0" w:space="0" w:color="auto"/>
            <w:right w:val="none" w:sz="0" w:space="0" w:color="auto"/>
          </w:divBdr>
        </w:div>
        <w:div w:id="2146385912">
          <w:marLeft w:val="0"/>
          <w:marRight w:val="0"/>
          <w:marTop w:val="0"/>
          <w:marBottom w:val="0"/>
          <w:divBdr>
            <w:top w:val="none" w:sz="0" w:space="0" w:color="auto"/>
            <w:left w:val="none" w:sz="0" w:space="0" w:color="auto"/>
            <w:bottom w:val="none" w:sz="0" w:space="0" w:color="auto"/>
            <w:right w:val="none" w:sz="0" w:space="0" w:color="auto"/>
          </w:divBdr>
        </w:div>
      </w:divsChild>
    </w:div>
    <w:div w:id="1347100235">
      <w:bodyDiv w:val="1"/>
      <w:marLeft w:val="0"/>
      <w:marRight w:val="0"/>
      <w:marTop w:val="0"/>
      <w:marBottom w:val="0"/>
      <w:divBdr>
        <w:top w:val="none" w:sz="0" w:space="0" w:color="auto"/>
        <w:left w:val="none" w:sz="0" w:space="0" w:color="auto"/>
        <w:bottom w:val="none" w:sz="0" w:space="0" w:color="auto"/>
        <w:right w:val="none" w:sz="0" w:space="0" w:color="auto"/>
      </w:divBdr>
    </w:div>
    <w:div w:id="1401445024">
      <w:bodyDiv w:val="1"/>
      <w:marLeft w:val="0"/>
      <w:marRight w:val="0"/>
      <w:marTop w:val="0"/>
      <w:marBottom w:val="0"/>
      <w:divBdr>
        <w:top w:val="none" w:sz="0" w:space="0" w:color="auto"/>
        <w:left w:val="none" w:sz="0" w:space="0" w:color="auto"/>
        <w:bottom w:val="none" w:sz="0" w:space="0" w:color="auto"/>
        <w:right w:val="none" w:sz="0" w:space="0" w:color="auto"/>
      </w:divBdr>
    </w:div>
    <w:div w:id="1557232764">
      <w:bodyDiv w:val="1"/>
      <w:marLeft w:val="0"/>
      <w:marRight w:val="0"/>
      <w:marTop w:val="0"/>
      <w:marBottom w:val="0"/>
      <w:divBdr>
        <w:top w:val="none" w:sz="0" w:space="0" w:color="auto"/>
        <w:left w:val="none" w:sz="0" w:space="0" w:color="auto"/>
        <w:bottom w:val="none" w:sz="0" w:space="0" w:color="auto"/>
        <w:right w:val="none" w:sz="0" w:space="0" w:color="auto"/>
      </w:divBdr>
      <w:divsChild>
        <w:div w:id="1095054762">
          <w:marLeft w:val="0"/>
          <w:marRight w:val="0"/>
          <w:marTop w:val="0"/>
          <w:marBottom w:val="0"/>
          <w:divBdr>
            <w:top w:val="none" w:sz="0" w:space="0" w:color="auto"/>
            <w:left w:val="none" w:sz="0" w:space="0" w:color="auto"/>
            <w:bottom w:val="none" w:sz="0" w:space="0" w:color="auto"/>
            <w:right w:val="none" w:sz="0" w:space="0" w:color="auto"/>
          </w:divBdr>
        </w:div>
      </w:divsChild>
    </w:div>
    <w:div w:id="1568490282">
      <w:bodyDiv w:val="1"/>
      <w:marLeft w:val="0"/>
      <w:marRight w:val="0"/>
      <w:marTop w:val="0"/>
      <w:marBottom w:val="0"/>
      <w:divBdr>
        <w:top w:val="none" w:sz="0" w:space="0" w:color="auto"/>
        <w:left w:val="none" w:sz="0" w:space="0" w:color="auto"/>
        <w:bottom w:val="none" w:sz="0" w:space="0" w:color="auto"/>
        <w:right w:val="none" w:sz="0" w:space="0" w:color="auto"/>
      </w:divBdr>
      <w:divsChild>
        <w:div w:id="611280099">
          <w:marLeft w:val="0"/>
          <w:marRight w:val="0"/>
          <w:marTop w:val="0"/>
          <w:marBottom w:val="0"/>
          <w:divBdr>
            <w:top w:val="none" w:sz="0" w:space="0" w:color="auto"/>
            <w:left w:val="none" w:sz="0" w:space="0" w:color="auto"/>
            <w:bottom w:val="none" w:sz="0" w:space="0" w:color="auto"/>
            <w:right w:val="none" w:sz="0" w:space="0" w:color="auto"/>
          </w:divBdr>
        </w:div>
        <w:div w:id="1832061558">
          <w:marLeft w:val="0"/>
          <w:marRight w:val="0"/>
          <w:marTop w:val="0"/>
          <w:marBottom w:val="0"/>
          <w:divBdr>
            <w:top w:val="none" w:sz="0" w:space="0" w:color="auto"/>
            <w:left w:val="none" w:sz="0" w:space="0" w:color="auto"/>
            <w:bottom w:val="none" w:sz="0" w:space="0" w:color="auto"/>
            <w:right w:val="none" w:sz="0" w:space="0" w:color="auto"/>
          </w:divBdr>
        </w:div>
        <w:div w:id="1603302377">
          <w:marLeft w:val="0"/>
          <w:marRight w:val="0"/>
          <w:marTop w:val="0"/>
          <w:marBottom w:val="0"/>
          <w:divBdr>
            <w:top w:val="none" w:sz="0" w:space="0" w:color="auto"/>
            <w:left w:val="none" w:sz="0" w:space="0" w:color="auto"/>
            <w:bottom w:val="none" w:sz="0" w:space="0" w:color="auto"/>
            <w:right w:val="none" w:sz="0" w:space="0" w:color="auto"/>
          </w:divBdr>
        </w:div>
        <w:div w:id="1278369237">
          <w:marLeft w:val="0"/>
          <w:marRight w:val="0"/>
          <w:marTop w:val="0"/>
          <w:marBottom w:val="0"/>
          <w:divBdr>
            <w:top w:val="none" w:sz="0" w:space="0" w:color="auto"/>
            <w:left w:val="none" w:sz="0" w:space="0" w:color="auto"/>
            <w:bottom w:val="none" w:sz="0" w:space="0" w:color="auto"/>
            <w:right w:val="none" w:sz="0" w:space="0" w:color="auto"/>
          </w:divBdr>
        </w:div>
        <w:div w:id="1630624900">
          <w:marLeft w:val="0"/>
          <w:marRight w:val="0"/>
          <w:marTop w:val="0"/>
          <w:marBottom w:val="0"/>
          <w:divBdr>
            <w:top w:val="none" w:sz="0" w:space="0" w:color="auto"/>
            <w:left w:val="none" w:sz="0" w:space="0" w:color="auto"/>
            <w:bottom w:val="none" w:sz="0" w:space="0" w:color="auto"/>
            <w:right w:val="none" w:sz="0" w:space="0" w:color="auto"/>
          </w:divBdr>
        </w:div>
      </w:divsChild>
    </w:div>
    <w:div w:id="1751003741">
      <w:bodyDiv w:val="1"/>
      <w:marLeft w:val="0"/>
      <w:marRight w:val="0"/>
      <w:marTop w:val="0"/>
      <w:marBottom w:val="0"/>
      <w:divBdr>
        <w:top w:val="none" w:sz="0" w:space="0" w:color="auto"/>
        <w:left w:val="none" w:sz="0" w:space="0" w:color="auto"/>
        <w:bottom w:val="none" w:sz="0" w:space="0" w:color="auto"/>
        <w:right w:val="none" w:sz="0" w:space="0" w:color="auto"/>
      </w:divBdr>
      <w:divsChild>
        <w:div w:id="522213143">
          <w:marLeft w:val="0"/>
          <w:marRight w:val="0"/>
          <w:marTop w:val="0"/>
          <w:marBottom w:val="0"/>
          <w:divBdr>
            <w:top w:val="none" w:sz="0" w:space="0" w:color="auto"/>
            <w:left w:val="none" w:sz="0" w:space="0" w:color="auto"/>
            <w:bottom w:val="none" w:sz="0" w:space="0" w:color="auto"/>
            <w:right w:val="none" w:sz="0" w:space="0" w:color="auto"/>
          </w:divBdr>
        </w:div>
        <w:div w:id="584998342">
          <w:marLeft w:val="0"/>
          <w:marRight w:val="0"/>
          <w:marTop w:val="0"/>
          <w:marBottom w:val="0"/>
          <w:divBdr>
            <w:top w:val="none" w:sz="0" w:space="0" w:color="auto"/>
            <w:left w:val="none" w:sz="0" w:space="0" w:color="auto"/>
            <w:bottom w:val="none" w:sz="0" w:space="0" w:color="auto"/>
            <w:right w:val="none" w:sz="0" w:space="0" w:color="auto"/>
          </w:divBdr>
        </w:div>
        <w:div w:id="1079061493">
          <w:marLeft w:val="0"/>
          <w:marRight w:val="0"/>
          <w:marTop w:val="0"/>
          <w:marBottom w:val="0"/>
          <w:divBdr>
            <w:top w:val="none" w:sz="0" w:space="0" w:color="auto"/>
            <w:left w:val="none" w:sz="0" w:space="0" w:color="auto"/>
            <w:bottom w:val="none" w:sz="0" w:space="0" w:color="auto"/>
            <w:right w:val="none" w:sz="0" w:space="0" w:color="auto"/>
          </w:divBdr>
        </w:div>
      </w:divsChild>
    </w:div>
    <w:div w:id="1844054169">
      <w:bodyDiv w:val="1"/>
      <w:marLeft w:val="0"/>
      <w:marRight w:val="0"/>
      <w:marTop w:val="0"/>
      <w:marBottom w:val="0"/>
      <w:divBdr>
        <w:top w:val="none" w:sz="0" w:space="0" w:color="auto"/>
        <w:left w:val="none" w:sz="0" w:space="0" w:color="auto"/>
        <w:bottom w:val="none" w:sz="0" w:space="0" w:color="auto"/>
        <w:right w:val="none" w:sz="0" w:space="0" w:color="auto"/>
      </w:divBdr>
    </w:div>
    <w:div w:id="1922251655">
      <w:bodyDiv w:val="1"/>
      <w:marLeft w:val="0"/>
      <w:marRight w:val="0"/>
      <w:marTop w:val="0"/>
      <w:marBottom w:val="0"/>
      <w:divBdr>
        <w:top w:val="none" w:sz="0" w:space="0" w:color="auto"/>
        <w:left w:val="none" w:sz="0" w:space="0" w:color="auto"/>
        <w:bottom w:val="none" w:sz="0" w:space="0" w:color="auto"/>
        <w:right w:val="none" w:sz="0" w:space="0" w:color="auto"/>
      </w:divBdr>
    </w:div>
    <w:div w:id="1997106975">
      <w:bodyDiv w:val="1"/>
      <w:marLeft w:val="0"/>
      <w:marRight w:val="0"/>
      <w:marTop w:val="0"/>
      <w:marBottom w:val="0"/>
      <w:divBdr>
        <w:top w:val="none" w:sz="0" w:space="0" w:color="auto"/>
        <w:left w:val="none" w:sz="0" w:space="0" w:color="auto"/>
        <w:bottom w:val="none" w:sz="0" w:space="0" w:color="auto"/>
        <w:right w:val="none" w:sz="0" w:space="0" w:color="auto"/>
      </w:divBdr>
    </w:div>
    <w:div w:id="20135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wcc-corp.ad\BuData\TransprtPlanGrp\Nigel%20Whyte\Bermuda%20Sustainable%20Transport%20Bridge\Cabinet\Pie%20Cha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cc-corp.ad\BuData\TransprtPlanGrp\Nigel%20Whyte\Bermuda%20Sustainable%20Transport%20Bridge\Cabinet\Pie%20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'Question 1'!$A$34</c:f>
              <c:strCache>
                <c:ptCount val="1"/>
                <c:pt idx="0">
                  <c:v>Yes</c:v>
                </c:pt>
              </c:strCache>
            </c:strRef>
          </c:tx>
          <c:invertIfNegative val="0"/>
          <c:cat>
            <c:strRef>
              <c:f>'Question 1'!$B$33:$M$33</c:f>
              <c:strCache>
                <c:ptCount val="12"/>
                <c:pt idx="0">
                  <c:v>Ansley Common</c:v>
                </c:pt>
                <c:pt idx="1">
                  <c:v>Bermuda</c:v>
                </c:pt>
                <c:pt idx="2">
                  <c:v>Camp Hill</c:v>
                </c:pt>
                <c:pt idx="3">
                  <c:v>Chapel End</c:v>
                </c:pt>
                <c:pt idx="4">
                  <c:v>Galley Common</c:v>
                </c:pt>
                <c:pt idx="5">
                  <c:v>Hartshill</c:v>
                </c:pt>
                <c:pt idx="6">
                  <c:v>Hill Top</c:v>
                </c:pt>
                <c:pt idx="7">
                  <c:v>Stockingford</c:v>
                </c:pt>
                <c:pt idx="8">
                  <c:v>Town Centre</c:v>
                </c:pt>
                <c:pt idx="9">
                  <c:v>Whittleford</c:v>
                </c:pt>
                <c:pt idx="10">
                  <c:v>Other</c:v>
                </c:pt>
                <c:pt idx="11">
                  <c:v>No Details Provided</c:v>
                </c:pt>
              </c:strCache>
            </c:strRef>
          </c:cat>
          <c:val>
            <c:numRef>
              <c:f>'Question 1'!$B$34:$M$34</c:f>
              <c:numCache>
                <c:formatCode>General</c:formatCode>
                <c:ptCount val="12"/>
                <c:pt idx="0">
                  <c:v>5</c:v>
                </c:pt>
                <c:pt idx="1">
                  <c:v>52</c:v>
                </c:pt>
                <c:pt idx="2">
                  <c:v>16</c:v>
                </c:pt>
                <c:pt idx="3">
                  <c:v>5</c:v>
                </c:pt>
                <c:pt idx="4">
                  <c:v>7</c:v>
                </c:pt>
                <c:pt idx="5">
                  <c:v>15</c:v>
                </c:pt>
                <c:pt idx="6">
                  <c:v>12</c:v>
                </c:pt>
                <c:pt idx="7">
                  <c:v>94</c:v>
                </c:pt>
                <c:pt idx="8">
                  <c:v>10</c:v>
                </c:pt>
                <c:pt idx="9">
                  <c:v>12</c:v>
                </c:pt>
                <c:pt idx="10">
                  <c:v>67</c:v>
                </c:pt>
                <c:pt idx="11">
                  <c:v>18</c:v>
                </c:pt>
              </c:numCache>
            </c:numRef>
          </c:val>
        </c:ser>
        <c:ser>
          <c:idx val="1"/>
          <c:order val="1"/>
          <c:tx>
            <c:strRef>
              <c:f>'Question 1'!$A$35</c:f>
              <c:strCache>
                <c:ptCount val="1"/>
                <c:pt idx="0">
                  <c:v>No </c:v>
                </c:pt>
              </c:strCache>
            </c:strRef>
          </c:tx>
          <c:invertIfNegative val="0"/>
          <c:cat>
            <c:strRef>
              <c:f>'Question 1'!$B$33:$M$33</c:f>
              <c:strCache>
                <c:ptCount val="12"/>
                <c:pt idx="0">
                  <c:v>Ansley Common</c:v>
                </c:pt>
                <c:pt idx="1">
                  <c:v>Bermuda</c:v>
                </c:pt>
                <c:pt idx="2">
                  <c:v>Camp Hill</c:v>
                </c:pt>
                <c:pt idx="3">
                  <c:v>Chapel End</c:v>
                </c:pt>
                <c:pt idx="4">
                  <c:v>Galley Common</c:v>
                </c:pt>
                <c:pt idx="5">
                  <c:v>Hartshill</c:v>
                </c:pt>
                <c:pt idx="6">
                  <c:v>Hill Top</c:v>
                </c:pt>
                <c:pt idx="7">
                  <c:v>Stockingford</c:v>
                </c:pt>
                <c:pt idx="8">
                  <c:v>Town Centre</c:v>
                </c:pt>
                <c:pt idx="9">
                  <c:v>Whittleford</c:v>
                </c:pt>
                <c:pt idx="10">
                  <c:v>Other</c:v>
                </c:pt>
                <c:pt idx="11">
                  <c:v>No Details Provided</c:v>
                </c:pt>
              </c:strCache>
            </c:strRef>
          </c:cat>
          <c:val>
            <c:numRef>
              <c:f>'Question 1'!$B$35:$M$35</c:f>
              <c:numCache>
                <c:formatCode>General</c:formatCode>
                <c:ptCount val="12"/>
                <c:pt idx="0">
                  <c:v>1</c:v>
                </c:pt>
                <c:pt idx="1">
                  <c:v>57</c:v>
                </c:pt>
                <c:pt idx="2">
                  <c:v>1</c:v>
                </c:pt>
                <c:pt idx="3">
                  <c:v>1</c:v>
                </c:pt>
                <c:pt idx="4">
                  <c:v>1</c:v>
                </c:pt>
                <c:pt idx="5">
                  <c:v>7</c:v>
                </c:pt>
                <c:pt idx="7">
                  <c:v>41</c:v>
                </c:pt>
                <c:pt idx="8">
                  <c:v>2</c:v>
                </c:pt>
                <c:pt idx="9">
                  <c:v>4</c:v>
                </c:pt>
                <c:pt idx="10">
                  <c:v>36</c:v>
                </c:pt>
                <c:pt idx="11">
                  <c:v>12</c:v>
                </c:pt>
              </c:numCache>
            </c:numRef>
          </c:val>
        </c:ser>
        <c:ser>
          <c:idx val="2"/>
          <c:order val="2"/>
          <c:tx>
            <c:strRef>
              <c:f>'Question 1'!$A$36</c:f>
              <c:strCache>
                <c:ptCount val="1"/>
                <c:pt idx="0">
                  <c:v>Neither Agree or Disagree</c:v>
                </c:pt>
              </c:strCache>
            </c:strRef>
          </c:tx>
          <c:invertIfNegative val="0"/>
          <c:cat>
            <c:strRef>
              <c:f>'Question 1'!$B$33:$M$33</c:f>
              <c:strCache>
                <c:ptCount val="12"/>
                <c:pt idx="0">
                  <c:v>Ansley Common</c:v>
                </c:pt>
                <c:pt idx="1">
                  <c:v>Bermuda</c:v>
                </c:pt>
                <c:pt idx="2">
                  <c:v>Camp Hill</c:v>
                </c:pt>
                <c:pt idx="3">
                  <c:v>Chapel End</c:v>
                </c:pt>
                <c:pt idx="4">
                  <c:v>Galley Common</c:v>
                </c:pt>
                <c:pt idx="5">
                  <c:v>Hartshill</c:v>
                </c:pt>
                <c:pt idx="6">
                  <c:v>Hill Top</c:v>
                </c:pt>
                <c:pt idx="7">
                  <c:v>Stockingford</c:v>
                </c:pt>
                <c:pt idx="8">
                  <c:v>Town Centre</c:v>
                </c:pt>
                <c:pt idx="9">
                  <c:v>Whittleford</c:v>
                </c:pt>
                <c:pt idx="10">
                  <c:v>Other</c:v>
                </c:pt>
                <c:pt idx="11">
                  <c:v>No Details Provided</c:v>
                </c:pt>
              </c:strCache>
            </c:strRef>
          </c:cat>
          <c:val>
            <c:numRef>
              <c:f>'Question 1'!$B$36:$M$36</c:f>
              <c:numCache>
                <c:formatCode>General</c:formatCode>
                <c:ptCount val="12"/>
                <c:pt idx="0">
                  <c:v>1</c:v>
                </c:pt>
                <c:pt idx="1">
                  <c:v>32</c:v>
                </c:pt>
                <c:pt idx="2">
                  <c:v>2</c:v>
                </c:pt>
                <c:pt idx="3">
                  <c:v>2</c:v>
                </c:pt>
                <c:pt idx="4">
                  <c:v>0</c:v>
                </c:pt>
                <c:pt idx="5">
                  <c:v>2</c:v>
                </c:pt>
                <c:pt idx="6">
                  <c:v>3</c:v>
                </c:pt>
                <c:pt idx="7">
                  <c:v>14</c:v>
                </c:pt>
                <c:pt idx="8">
                  <c:v>2</c:v>
                </c:pt>
                <c:pt idx="9">
                  <c:v>1</c:v>
                </c:pt>
                <c:pt idx="10">
                  <c:v>23</c:v>
                </c:pt>
                <c:pt idx="11">
                  <c:v>9</c:v>
                </c:pt>
              </c:numCache>
            </c:numRef>
          </c:val>
        </c:ser>
        <c:dLbls>
          <c:showLegendKey val="0"/>
          <c:showVal val="0"/>
          <c:showCatName val="0"/>
          <c:showSerName val="0"/>
          <c:showPercent val="0"/>
          <c:showBubbleSize val="0"/>
        </c:dLbls>
        <c:gapWidth val="300"/>
        <c:axId val="162120448"/>
        <c:axId val="162122368"/>
      </c:barChart>
      <c:catAx>
        <c:axId val="162120448"/>
        <c:scaling>
          <c:orientation val="minMax"/>
        </c:scaling>
        <c:delete val="0"/>
        <c:axPos val="b"/>
        <c:title>
          <c:tx>
            <c:rich>
              <a:bodyPr/>
              <a:lstStyle/>
              <a:p>
                <a:pPr>
                  <a:defRPr sz="800">
                    <a:latin typeface="Arial" panose="020B0604020202020204" pitchFamily="34" charset="0"/>
                    <a:cs typeface="Arial" panose="020B0604020202020204" pitchFamily="34" charset="0"/>
                  </a:defRPr>
                </a:pPr>
                <a:r>
                  <a:rPr lang="en-GB" sz="800">
                    <a:latin typeface="Arial" panose="020B0604020202020204" pitchFamily="34" charset="0"/>
                    <a:cs typeface="Arial" panose="020B0604020202020204" pitchFamily="34" charset="0"/>
                  </a:rPr>
                  <a:t>Residential Area </a:t>
                </a:r>
              </a:p>
            </c:rich>
          </c:tx>
          <c:overlay val="0"/>
        </c:title>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62122368"/>
        <c:crosses val="autoZero"/>
        <c:auto val="1"/>
        <c:lblAlgn val="ctr"/>
        <c:lblOffset val="100"/>
        <c:noMultiLvlLbl val="0"/>
      </c:catAx>
      <c:valAx>
        <c:axId val="162122368"/>
        <c:scaling>
          <c:orientation val="minMax"/>
        </c:scaling>
        <c:delete val="0"/>
        <c:axPos val="l"/>
        <c:majorGridlines/>
        <c:minorGridlines/>
        <c:title>
          <c:tx>
            <c:rich>
              <a:bodyPr/>
              <a:lstStyle/>
              <a:p>
                <a:pPr>
                  <a:defRPr sz="800">
                    <a:latin typeface="Arial" panose="020B0604020202020204" pitchFamily="34" charset="0"/>
                    <a:cs typeface="Arial" panose="020B0604020202020204" pitchFamily="34" charset="0"/>
                  </a:defRPr>
                </a:pPr>
                <a:r>
                  <a:rPr lang="en-GB" sz="800">
                    <a:latin typeface="Arial" panose="020B0604020202020204" pitchFamily="34" charset="0"/>
                    <a:cs typeface="Arial" panose="020B0604020202020204" pitchFamily="34" charset="0"/>
                  </a:rPr>
                  <a:t>Number of Respndents</a:t>
                </a:r>
              </a:p>
            </c:rich>
          </c:tx>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62120448"/>
        <c:crosses val="autoZero"/>
        <c:crossBetween val="between"/>
      </c:valAx>
    </c:plotArea>
    <c:legend>
      <c:legendPos val="r"/>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85042869209304"/>
          <c:y val="2.8104087292847413E-2"/>
          <c:w val="0.72868635834790496"/>
          <c:h val="0.72023933978256516"/>
        </c:manualLayout>
      </c:layout>
      <c:barChart>
        <c:barDir val="col"/>
        <c:grouping val="clustered"/>
        <c:varyColors val="0"/>
        <c:ser>
          <c:idx val="0"/>
          <c:order val="0"/>
          <c:tx>
            <c:strRef>
              <c:f>'Question 2'!$A$40</c:f>
              <c:strCache>
                <c:ptCount val="1"/>
                <c:pt idx="0">
                  <c:v>Yes</c:v>
                </c:pt>
              </c:strCache>
            </c:strRef>
          </c:tx>
          <c:invertIfNegative val="0"/>
          <c:cat>
            <c:strRef>
              <c:f>'Question 2'!$B$39:$M$39</c:f>
              <c:strCache>
                <c:ptCount val="12"/>
                <c:pt idx="0">
                  <c:v>Ansley Common</c:v>
                </c:pt>
                <c:pt idx="1">
                  <c:v>Bermuda</c:v>
                </c:pt>
                <c:pt idx="2">
                  <c:v>Camp Hill</c:v>
                </c:pt>
                <c:pt idx="3">
                  <c:v>Chapel End</c:v>
                </c:pt>
                <c:pt idx="4">
                  <c:v>Galley Common</c:v>
                </c:pt>
                <c:pt idx="5">
                  <c:v>Hartshill</c:v>
                </c:pt>
                <c:pt idx="6">
                  <c:v>Hill Top</c:v>
                </c:pt>
                <c:pt idx="7">
                  <c:v>Stockingford</c:v>
                </c:pt>
                <c:pt idx="8">
                  <c:v>Town Centre</c:v>
                </c:pt>
                <c:pt idx="9">
                  <c:v>Whittleford</c:v>
                </c:pt>
                <c:pt idx="10">
                  <c:v>Other</c:v>
                </c:pt>
                <c:pt idx="11">
                  <c:v>No Details Provided</c:v>
                </c:pt>
              </c:strCache>
            </c:strRef>
          </c:cat>
          <c:val>
            <c:numRef>
              <c:f>'Question 2'!$B$40:$M$40</c:f>
              <c:numCache>
                <c:formatCode>General</c:formatCode>
                <c:ptCount val="12"/>
                <c:pt idx="0">
                  <c:v>5</c:v>
                </c:pt>
                <c:pt idx="1">
                  <c:v>12</c:v>
                </c:pt>
                <c:pt idx="2">
                  <c:v>16</c:v>
                </c:pt>
                <c:pt idx="3">
                  <c:v>6</c:v>
                </c:pt>
                <c:pt idx="4">
                  <c:v>7</c:v>
                </c:pt>
                <c:pt idx="5">
                  <c:v>12</c:v>
                </c:pt>
                <c:pt idx="6">
                  <c:v>13</c:v>
                </c:pt>
                <c:pt idx="7">
                  <c:v>57</c:v>
                </c:pt>
                <c:pt idx="8">
                  <c:v>8</c:v>
                </c:pt>
                <c:pt idx="9">
                  <c:v>8</c:v>
                </c:pt>
                <c:pt idx="10">
                  <c:v>51</c:v>
                </c:pt>
                <c:pt idx="11">
                  <c:v>9</c:v>
                </c:pt>
              </c:numCache>
            </c:numRef>
          </c:val>
        </c:ser>
        <c:ser>
          <c:idx val="1"/>
          <c:order val="1"/>
          <c:tx>
            <c:strRef>
              <c:f>'Question 2'!$A$41</c:f>
              <c:strCache>
                <c:ptCount val="1"/>
                <c:pt idx="0">
                  <c:v>No </c:v>
                </c:pt>
              </c:strCache>
            </c:strRef>
          </c:tx>
          <c:invertIfNegative val="0"/>
          <c:cat>
            <c:strRef>
              <c:f>'Question 2'!$B$39:$M$39</c:f>
              <c:strCache>
                <c:ptCount val="12"/>
                <c:pt idx="0">
                  <c:v>Ansley Common</c:v>
                </c:pt>
                <c:pt idx="1">
                  <c:v>Bermuda</c:v>
                </c:pt>
                <c:pt idx="2">
                  <c:v>Camp Hill</c:v>
                </c:pt>
                <c:pt idx="3">
                  <c:v>Chapel End</c:v>
                </c:pt>
                <c:pt idx="4">
                  <c:v>Galley Common</c:v>
                </c:pt>
                <c:pt idx="5">
                  <c:v>Hartshill</c:v>
                </c:pt>
                <c:pt idx="6">
                  <c:v>Hill Top</c:v>
                </c:pt>
                <c:pt idx="7">
                  <c:v>Stockingford</c:v>
                </c:pt>
                <c:pt idx="8">
                  <c:v>Town Centre</c:v>
                </c:pt>
                <c:pt idx="9">
                  <c:v>Whittleford</c:v>
                </c:pt>
                <c:pt idx="10">
                  <c:v>Other</c:v>
                </c:pt>
                <c:pt idx="11">
                  <c:v>No Details Provided</c:v>
                </c:pt>
              </c:strCache>
            </c:strRef>
          </c:cat>
          <c:val>
            <c:numRef>
              <c:f>'Question 2'!$B$41:$M$41</c:f>
              <c:numCache>
                <c:formatCode>General</c:formatCode>
                <c:ptCount val="12"/>
                <c:pt idx="0">
                  <c:v>2</c:v>
                </c:pt>
                <c:pt idx="1">
                  <c:v>126</c:v>
                </c:pt>
                <c:pt idx="2">
                  <c:v>3</c:v>
                </c:pt>
                <c:pt idx="3">
                  <c:v>2</c:v>
                </c:pt>
                <c:pt idx="4">
                  <c:v>1</c:v>
                </c:pt>
                <c:pt idx="5">
                  <c:v>9</c:v>
                </c:pt>
                <c:pt idx="7">
                  <c:v>85</c:v>
                </c:pt>
                <c:pt idx="8">
                  <c:v>5</c:v>
                </c:pt>
                <c:pt idx="9">
                  <c:v>7</c:v>
                </c:pt>
                <c:pt idx="10">
                  <c:v>63</c:v>
                </c:pt>
                <c:pt idx="11">
                  <c:v>23</c:v>
                </c:pt>
              </c:numCache>
            </c:numRef>
          </c:val>
        </c:ser>
        <c:ser>
          <c:idx val="2"/>
          <c:order val="2"/>
          <c:tx>
            <c:strRef>
              <c:f>'Question 2'!$A$42</c:f>
              <c:strCache>
                <c:ptCount val="1"/>
                <c:pt idx="0">
                  <c:v>Don't Know</c:v>
                </c:pt>
              </c:strCache>
            </c:strRef>
          </c:tx>
          <c:invertIfNegative val="0"/>
          <c:cat>
            <c:strRef>
              <c:f>'Question 2'!$B$39:$M$39</c:f>
              <c:strCache>
                <c:ptCount val="12"/>
                <c:pt idx="0">
                  <c:v>Ansley Common</c:v>
                </c:pt>
                <c:pt idx="1">
                  <c:v>Bermuda</c:v>
                </c:pt>
                <c:pt idx="2">
                  <c:v>Camp Hill</c:v>
                </c:pt>
                <c:pt idx="3">
                  <c:v>Chapel End</c:v>
                </c:pt>
                <c:pt idx="4">
                  <c:v>Galley Common</c:v>
                </c:pt>
                <c:pt idx="5">
                  <c:v>Hartshill</c:v>
                </c:pt>
                <c:pt idx="6">
                  <c:v>Hill Top</c:v>
                </c:pt>
                <c:pt idx="7">
                  <c:v>Stockingford</c:v>
                </c:pt>
                <c:pt idx="8">
                  <c:v>Town Centre</c:v>
                </c:pt>
                <c:pt idx="9">
                  <c:v>Whittleford</c:v>
                </c:pt>
                <c:pt idx="10">
                  <c:v>Other</c:v>
                </c:pt>
                <c:pt idx="11">
                  <c:v>No Details Provided</c:v>
                </c:pt>
              </c:strCache>
            </c:strRef>
          </c:cat>
          <c:val>
            <c:numRef>
              <c:f>'Question 2'!$B$42:$M$42</c:f>
              <c:numCache>
                <c:formatCode>General</c:formatCode>
                <c:ptCount val="12"/>
                <c:pt idx="1">
                  <c:v>4</c:v>
                </c:pt>
                <c:pt idx="5">
                  <c:v>3</c:v>
                </c:pt>
                <c:pt idx="6">
                  <c:v>2</c:v>
                </c:pt>
                <c:pt idx="7">
                  <c:v>7</c:v>
                </c:pt>
                <c:pt idx="8">
                  <c:v>1</c:v>
                </c:pt>
                <c:pt idx="9">
                  <c:v>2</c:v>
                </c:pt>
                <c:pt idx="10">
                  <c:v>13</c:v>
                </c:pt>
                <c:pt idx="11">
                  <c:v>5</c:v>
                </c:pt>
              </c:numCache>
            </c:numRef>
          </c:val>
        </c:ser>
        <c:dLbls>
          <c:showLegendKey val="0"/>
          <c:showVal val="0"/>
          <c:showCatName val="0"/>
          <c:showSerName val="0"/>
          <c:showPercent val="0"/>
          <c:showBubbleSize val="0"/>
        </c:dLbls>
        <c:gapWidth val="300"/>
        <c:axId val="269095296"/>
        <c:axId val="269097216"/>
      </c:barChart>
      <c:catAx>
        <c:axId val="269095296"/>
        <c:scaling>
          <c:orientation val="minMax"/>
        </c:scaling>
        <c:delete val="0"/>
        <c:axPos val="b"/>
        <c:title>
          <c:tx>
            <c:rich>
              <a:bodyPr/>
              <a:lstStyle/>
              <a:p>
                <a:pPr>
                  <a:defRPr/>
                </a:pPr>
                <a:r>
                  <a:rPr lang="en-GB"/>
                  <a:t>Residential Area </a:t>
                </a:r>
              </a:p>
            </c:rich>
          </c:tx>
          <c:overlay val="0"/>
        </c:title>
        <c:majorTickMark val="none"/>
        <c:minorTickMark val="none"/>
        <c:tickLblPos val="nextTo"/>
        <c:crossAx val="269097216"/>
        <c:crosses val="autoZero"/>
        <c:auto val="1"/>
        <c:lblAlgn val="ctr"/>
        <c:lblOffset val="100"/>
        <c:noMultiLvlLbl val="0"/>
      </c:catAx>
      <c:valAx>
        <c:axId val="269097216"/>
        <c:scaling>
          <c:orientation val="minMax"/>
        </c:scaling>
        <c:delete val="0"/>
        <c:axPos val="l"/>
        <c:majorGridlines/>
        <c:minorGridlines/>
        <c:title>
          <c:tx>
            <c:rich>
              <a:bodyPr/>
              <a:lstStyle/>
              <a:p>
                <a:pPr>
                  <a:defRPr/>
                </a:pPr>
                <a:r>
                  <a:rPr lang="en-GB"/>
                  <a:t>Number of Respndents</a:t>
                </a:r>
              </a:p>
            </c:rich>
          </c:tx>
          <c:overlay val="0"/>
        </c:title>
        <c:numFmt formatCode="General" sourceLinked="1"/>
        <c:majorTickMark val="out"/>
        <c:minorTickMark val="none"/>
        <c:tickLblPos val="nextTo"/>
        <c:crossAx val="269095296"/>
        <c:crosses val="autoZero"/>
        <c:crossBetween val="between"/>
      </c:valAx>
    </c:plotArea>
    <c:legend>
      <c:legendPos val="r"/>
      <c:layout>
        <c:manualLayout>
          <c:xMode val="edge"/>
          <c:yMode val="edge"/>
          <c:x val="0.88223714968600164"/>
          <c:y val="0.43134128838514468"/>
          <c:w val="0.10295473179675202"/>
          <c:h val="0.18794253372300052"/>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A1C3-E2DF-48C5-8E15-956AF745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5660</Words>
  <Characters>32265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37850</CharactersWithSpaces>
  <SharedDoc>false</SharedDoc>
  <HLinks>
    <vt:vector size="6" baseType="variant">
      <vt:variant>
        <vt:i4>4259887</vt:i4>
      </vt:variant>
      <vt:variant>
        <vt:i4>0</vt:i4>
      </vt:variant>
      <vt:variant>
        <vt:i4>0</vt:i4>
      </vt:variant>
      <vt:variant>
        <vt:i4>5</vt:i4>
      </vt:variant>
      <vt:variant>
        <vt:lpwstr>mailto:emailaddress@warwickshire.gov.uk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Abbott</dc:creator>
  <cp:lastModifiedBy>Lucy Rumble</cp:lastModifiedBy>
  <cp:revision>2</cp:revision>
  <cp:lastPrinted>2015-11-03T16:39:00Z</cp:lastPrinted>
  <dcterms:created xsi:type="dcterms:W3CDTF">2018-01-16T12:33:00Z</dcterms:created>
  <dcterms:modified xsi:type="dcterms:W3CDTF">2018-01-16T12:33:00Z</dcterms:modified>
</cp:coreProperties>
</file>