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1F4" w:rsidRDefault="004631F4">
      <w:pPr>
        <w:pBdr>
          <w:top w:val="nil"/>
          <w:left w:val="nil"/>
          <w:bottom w:val="nil"/>
          <w:right w:val="nil"/>
          <w:between w:val="nil"/>
        </w:pBdr>
        <w:tabs>
          <w:tab w:val="left" w:pos="180"/>
        </w:tabs>
        <w:spacing w:after="0" w:line="240" w:lineRule="auto"/>
        <w:rPr>
          <w:color w:val="000000"/>
        </w:rPr>
      </w:pPr>
      <w:bookmarkStart w:id="0" w:name="_GoBack"/>
      <w:bookmarkEnd w:id="0"/>
    </w:p>
    <w:p w:rsidR="004631F4" w:rsidRDefault="004631F4">
      <w:pPr>
        <w:pBdr>
          <w:top w:val="nil"/>
          <w:left w:val="nil"/>
          <w:bottom w:val="nil"/>
          <w:right w:val="nil"/>
          <w:between w:val="nil"/>
        </w:pBdr>
        <w:tabs>
          <w:tab w:val="left" w:pos="180"/>
        </w:tabs>
        <w:spacing w:after="0" w:line="240" w:lineRule="auto"/>
        <w:jc w:val="center"/>
        <w:rPr>
          <w:b/>
          <w:color w:val="000000"/>
          <w:sz w:val="36"/>
          <w:szCs w:val="36"/>
        </w:rPr>
      </w:pPr>
    </w:p>
    <w:p w:rsidR="004631F4" w:rsidRDefault="004631F4">
      <w:pPr>
        <w:pBdr>
          <w:top w:val="nil"/>
          <w:left w:val="nil"/>
          <w:bottom w:val="nil"/>
          <w:right w:val="nil"/>
          <w:between w:val="nil"/>
        </w:pBdr>
        <w:tabs>
          <w:tab w:val="left" w:pos="180"/>
        </w:tabs>
        <w:spacing w:after="0" w:line="240" w:lineRule="auto"/>
        <w:jc w:val="center"/>
        <w:rPr>
          <w:b/>
          <w:color w:val="000000"/>
          <w:sz w:val="36"/>
          <w:szCs w:val="36"/>
        </w:rPr>
      </w:pPr>
    </w:p>
    <w:p w:rsidR="004631F4" w:rsidRDefault="004631F4">
      <w:pPr>
        <w:pBdr>
          <w:top w:val="nil"/>
          <w:left w:val="nil"/>
          <w:bottom w:val="nil"/>
          <w:right w:val="nil"/>
          <w:between w:val="nil"/>
        </w:pBdr>
        <w:tabs>
          <w:tab w:val="left" w:pos="180"/>
        </w:tabs>
        <w:spacing w:after="0" w:line="240" w:lineRule="auto"/>
        <w:jc w:val="center"/>
        <w:rPr>
          <w:b/>
          <w:color w:val="000000"/>
          <w:sz w:val="36"/>
          <w:szCs w:val="36"/>
        </w:rPr>
      </w:pPr>
    </w:p>
    <w:p w:rsidR="004631F4" w:rsidRDefault="004631F4">
      <w:pPr>
        <w:pBdr>
          <w:top w:val="nil"/>
          <w:left w:val="nil"/>
          <w:bottom w:val="nil"/>
          <w:right w:val="nil"/>
          <w:between w:val="nil"/>
        </w:pBdr>
        <w:tabs>
          <w:tab w:val="left" w:pos="180"/>
        </w:tabs>
        <w:spacing w:after="0" w:line="240" w:lineRule="auto"/>
        <w:jc w:val="center"/>
        <w:rPr>
          <w:b/>
          <w:color w:val="000000"/>
          <w:sz w:val="36"/>
          <w:szCs w:val="36"/>
        </w:rPr>
      </w:pPr>
    </w:p>
    <w:p w:rsidR="004631F4" w:rsidRDefault="004631F4">
      <w:pPr>
        <w:pBdr>
          <w:top w:val="nil"/>
          <w:left w:val="nil"/>
          <w:bottom w:val="nil"/>
          <w:right w:val="nil"/>
          <w:between w:val="nil"/>
        </w:pBdr>
        <w:tabs>
          <w:tab w:val="left" w:pos="180"/>
        </w:tabs>
        <w:spacing w:after="0" w:line="240" w:lineRule="auto"/>
        <w:jc w:val="center"/>
        <w:rPr>
          <w:b/>
          <w:color w:val="000000"/>
          <w:sz w:val="36"/>
          <w:szCs w:val="36"/>
        </w:rPr>
      </w:pPr>
    </w:p>
    <w:p w:rsidR="004631F4" w:rsidRDefault="004631F4">
      <w:pPr>
        <w:pBdr>
          <w:top w:val="nil"/>
          <w:left w:val="nil"/>
          <w:bottom w:val="nil"/>
          <w:right w:val="nil"/>
          <w:between w:val="nil"/>
        </w:pBdr>
        <w:tabs>
          <w:tab w:val="left" w:pos="180"/>
        </w:tabs>
        <w:spacing w:after="0" w:line="240" w:lineRule="auto"/>
        <w:jc w:val="center"/>
        <w:rPr>
          <w:b/>
          <w:color w:val="000000"/>
          <w:sz w:val="36"/>
          <w:szCs w:val="36"/>
        </w:rPr>
      </w:pPr>
    </w:p>
    <w:p w:rsidR="004631F4" w:rsidRDefault="004631F4">
      <w:pPr>
        <w:pBdr>
          <w:top w:val="nil"/>
          <w:left w:val="nil"/>
          <w:bottom w:val="nil"/>
          <w:right w:val="nil"/>
          <w:between w:val="nil"/>
        </w:pBdr>
        <w:tabs>
          <w:tab w:val="left" w:pos="180"/>
        </w:tabs>
        <w:spacing w:after="0" w:line="240" w:lineRule="auto"/>
        <w:jc w:val="center"/>
        <w:rPr>
          <w:b/>
          <w:color w:val="000000"/>
          <w:sz w:val="36"/>
          <w:szCs w:val="36"/>
        </w:rPr>
      </w:pPr>
    </w:p>
    <w:p w:rsidR="004631F4" w:rsidRDefault="00DC1890">
      <w:pPr>
        <w:pBdr>
          <w:top w:val="nil"/>
          <w:left w:val="nil"/>
          <w:bottom w:val="nil"/>
          <w:right w:val="nil"/>
          <w:between w:val="nil"/>
        </w:pBdr>
        <w:tabs>
          <w:tab w:val="left" w:pos="180"/>
        </w:tabs>
        <w:spacing w:after="0" w:line="240" w:lineRule="auto"/>
        <w:jc w:val="center"/>
        <w:rPr>
          <w:b/>
          <w:color w:val="000000"/>
          <w:sz w:val="28"/>
          <w:szCs w:val="28"/>
        </w:rPr>
      </w:pPr>
      <w:r>
        <w:rPr>
          <w:b/>
          <w:color w:val="000000"/>
          <w:sz w:val="28"/>
          <w:szCs w:val="28"/>
        </w:rPr>
        <w:t>EQUALITY IMPACT ASSESSMENT (EIA)</w:t>
      </w:r>
    </w:p>
    <w:p w:rsidR="004631F4" w:rsidRDefault="004631F4">
      <w:pPr>
        <w:pBdr>
          <w:top w:val="nil"/>
          <w:left w:val="nil"/>
          <w:bottom w:val="nil"/>
          <w:right w:val="nil"/>
          <w:between w:val="nil"/>
        </w:pBdr>
        <w:tabs>
          <w:tab w:val="left" w:pos="180"/>
        </w:tabs>
        <w:spacing w:after="0" w:line="240" w:lineRule="auto"/>
        <w:jc w:val="center"/>
        <w:rPr>
          <w:color w:val="000000"/>
          <w:sz w:val="28"/>
          <w:szCs w:val="28"/>
        </w:rPr>
      </w:pPr>
    </w:p>
    <w:p w:rsidR="004631F4" w:rsidRDefault="00DC1890">
      <w:pPr>
        <w:pStyle w:val="Heading3"/>
        <w:jc w:val="center"/>
        <w:rPr>
          <w:sz w:val="28"/>
          <w:szCs w:val="28"/>
        </w:rPr>
      </w:pPr>
      <w:r>
        <w:rPr>
          <w:sz w:val="28"/>
          <w:szCs w:val="28"/>
        </w:rPr>
        <w:t>Warwickshire Careers Strategy 2018-2023</w:t>
      </w:r>
    </w:p>
    <w:p w:rsidR="004631F4" w:rsidRDefault="004631F4">
      <w:pPr>
        <w:spacing w:after="0" w:line="240" w:lineRule="auto"/>
        <w:jc w:val="center"/>
        <w:rPr>
          <w:b/>
        </w:rPr>
      </w:pPr>
    </w:p>
    <w:p w:rsidR="004631F4" w:rsidRDefault="00DC1890">
      <w:pPr>
        <w:spacing w:after="0" w:line="240" w:lineRule="auto"/>
        <w:jc w:val="center"/>
        <w:rPr>
          <w:b/>
          <w:i/>
        </w:rPr>
      </w:pPr>
      <w:r>
        <w:rPr>
          <w:b/>
          <w:i/>
        </w:rPr>
        <w:t xml:space="preserve"> </w:t>
      </w:r>
    </w:p>
    <w:p w:rsidR="004631F4" w:rsidRDefault="004631F4">
      <w:pPr>
        <w:spacing w:after="0" w:line="240" w:lineRule="auto"/>
        <w:rPr>
          <w:i/>
        </w:rPr>
      </w:pPr>
    </w:p>
    <w:p w:rsidR="004631F4" w:rsidRDefault="004631F4"/>
    <w:p w:rsidR="004631F4" w:rsidRDefault="00DC1890">
      <w:pPr>
        <w:tabs>
          <w:tab w:val="left" w:pos="5947"/>
        </w:tabs>
      </w:pPr>
      <w:r>
        <w:tab/>
      </w:r>
    </w:p>
    <w:p w:rsidR="004631F4" w:rsidRDefault="004631F4"/>
    <w:p w:rsidR="004631F4" w:rsidRDefault="004631F4"/>
    <w:p w:rsidR="004631F4" w:rsidRDefault="004631F4"/>
    <w:p w:rsidR="004631F4" w:rsidRDefault="004631F4"/>
    <w:tbl>
      <w:tblPr>
        <w:tblStyle w:val="a"/>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9072"/>
      </w:tblGrid>
      <w:tr w:rsidR="004631F4">
        <w:trPr>
          <w:trHeight w:val="620"/>
        </w:trPr>
        <w:tc>
          <w:tcPr>
            <w:tcW w:w="5070" w:type="dxa"/>
          </w:tcPr>
          <w:p w:rsidR="004631F4" w:rsidRDefault="00DC1890">
            <w:pPr>
              <w:keepNext/>
              <w:rPr>
                <w:b/>
              </w:rPr>
            </w:pPr>
            <w:r>
              <w:rPr>
                <w:b/>
              </w:rPr>
              <w:lastRenderedPageBreak/>
              <w:t>Service/policy/strategy/practice/plan being assessed</w:t>
            </w:r>
          </w:p>
        </w:tc>
        <w:tc>
          <w:tcPr>
            <w:tcW w:w="9072" w:type="dxa"/>
          </w:tcPr>
          <w:p w:rsidR="004631F4" w:rsidRDefault="00DC1890">
            <w:r>
              <w:t>Warwickshire Careers Strategy</w:t>
            </w:r>
          </w:p>
        </w:tc>
      </w:tr>
      <w:tr w:rsidR="004631F4">
        <w:trPr>
          <w:trHeight w:val="620"/>
        </w:trPr>
        <w:tc>
          <w:tcPr>
            <w:tcW w:w="5070" w:type="dxa"/>
          </w:tcPr>
          <w:p w:rsidR="004631F4" w:rsidRDefault="00DC1890">
            <w:pPr>
              <w:keepNext/>
            </w:pPr>
            <w:r>
              <w:rPr>
                <w:b/>
              </w:rPr>
              <w:t>Business Unit/Service Area</w:t>
            </w:r>
          </w:p>
        </w:tc>
        <w:tc>
          <w:tcPr>
            <w:tcW w:w="9072" w:type="dxa"/>
          </w:tcPr>
          <w:p w:rsidR="004631F4" w:rsidRDefault="00DC1890">
            <w:r>
              <w:t>Communities</w:t>
            </w:r>
          </w:p>
        </w:tc>
      </w:tr>
      <w:tr w:rsidR="004631F4">
        <w:trPr>
          <w:trHeight w:val="620"/>
        </w:trPr>
        <w:tc>
          <w:tcPr>
            <w:tcW w:w="5070" w:type="dxa"/>
          </w:tcPr>
          <w:p w:rsidR="004631F4" w:rsidRDefault="00DC1890">
            <w:pPr>
              <w:keepNext/>
              <w:tabs>
                <w:tab w:val="left" w:pos="0"/>
              </w:tabs>
              <w:rPr>
                <w:b/>
                <w:color w:val="000000"/>
              </w:rPr>
            </w:pPr>
            <w:r>
              <w:rPr>
                <w:b/>
                <w:color w:val="000000"/>
              </w:rPr>
              <w:t xml:space="preserve">Is this a new or existing service/policy/strategy/practice/plan?  </w:t>
            </w:r>
          </w:p>
          <w:p w:rsidR="004631F4" w:rsidRDefault="004631F4"/>
          <w:p w:rsidR="004631F4" w:rsidRDefault="00DC1890">
            <w:pPr>
              <w:rPr>
                <w:i/>
              </w:rPr>
            </w:pPr>
            <w:r>
              <w:rPr>
                <w:i/>
                <w:color w:val="000000"/>
              </w:rPr>
              <w:t>If an existing service/policy/strategy/practice/plan please state date of last assessment</w:t>
            </w:r>
          </w:p>
        </w:tc>
        <w:tc>
          <w:tcPr>
            <w:tcW w:w="9072" w:type="dxa"/>
          </w:tcPr>
          <w:p w:rsidR="004631F4" w:rsidRDefault="00DC1890">
            <w:r>
              <w:t>New</w:t>
            </w:r>
          </w:p>
        </w:tc>
      </w:tr>
      <w:tr w:rsidR="004631F4">
        <w:trPr>
          <w:trHeight w:val="620"/>
        </w:trPr>
        <w:tc>
          <w:tcPr>
            <w:tcW w:w="5070" w:type="dxa"/>
          </w:tcPr>
          <w:p w:rsidR="004631F4" w:rsidRDefault="00DC1890">
            <w:pPr>
              <w:keepNext/>
              <w:rPr>
                <w:b/>
              </w:rPr>
            </w:pPr>
            <w:r>
              <w:rPr>
                <w:b/>
              </w:rPr>
              <w:t>EIA Review team – list of members</w:t>
            </w:r>
          </w:p>
        </w:tc>
        <w:tc>
          <w:tcPr>
            <w:tcW w:w="9072" w:type="dxa"/>
          </w:tcPr>
          <w:p w:rsidR="004631F4" w:rsidRDefault="00DC1890">
            <w:r>
              <w:t>David Ayton-Hill - Strategy &amp; Commissioning Manager (Economy &amp; Skills)</w:t>
            </w:r>
          </w:p>
          <w:p w:rsidR="004631F4" w:rsidRDefault="004631F4"/>
        </w:tc>
      </w:tr>
      <w:tr w:rsidR="004631F4">
        <w:trPr>
          <w:trHeight w:val="620"/>
        </w:trPr>
        <w:tc>
          <w:tcPr>
            <w:tcW w:w="5070" w:type="dxa"/>
          </w:tcPr>
          <w:p w:rsidR="004631F4" w:rsidRDefault="00DC1890">
            <w:pPr>
              <w:keepNext/>
              <w:rPr>
                <w:b/>
              </w:rPr>
            </w:pPr>
            <w:r>
              <w:rPr>
                <w:b/>
              </w:rPr>
              <w:t>Do any other Business Units/Service Areas need to be included?</w:t>
            </w:r>
          </w:p>
        </w:tc>
        <w:tc>
          <w:tcPr>
            <w:tcW w:w="9072" w:type="dxa"/>
          </w:tcPr>
          <w:p w:rsidR="004631F4" w:rsidRDefault="00DC1890">
            <w:r>
              <w:t>No</w:t>
            </w:r>
          </w:p>
        </w:tc>
      </w:tr>
      <w:tr w:rsidR="004631F4">
        <w:trPr>
          <w:trHeight w:val="620"/>
        </w:trPr>
        <w:tc>
          <w:tcPr>
            <w:tcW w:w="5070" w:type="dxa"/>
          </w:tcPr>
          <w:p w:rsidR="004631F4" w:rsidRDefault="00DC1890">
            <w:pPr>
              <w:keepNext/>
              <w:rPr>
                <w:b/>
              </w:rPr>
            </w:pPr>
            <w:r>
              <w:rPr>
                <w:b/>
              </w:rPr>
              <w:t>Date of assessment</w:t>
            </w:r>
          </w:p>
        </w:tc>
        <w:tc>
          <w:tcPr>
            <w:tcW w:w="9072" w:type="dxa"/>
          </w:tcPr>
          <w:p w:rsidR="004631F4" w:rsidRDefault="00DC1890">
            <w:r>
              <w:t>6th June 2019</w:t>
            </w:r>
          </w:p>
        </w:tc>
      </w:tr>
      <w:tr w:rsidR="004631F4">
        <w:trPr>
          <w:trHeight w:val="620"/>
        </w:trPr>
        <w:tc>
          <w:tcPr>
            <w:tcW w:w="5070" w:type="dxa"/>
          </w:tcPr>
          <w:p w:rsidR="004631F4" w:rsidRDefault="00DC1890">
            <w:pPr>
              <w:rPr>
                <w:b/>
              </w:rPr>
            </w:pPr>
            <w:r>
              <w:rPr>
                <w:b/>
              </w:rPr>
              <w:t>Are any of the outcomes from this assessment likely to result in complaints from existing services users, members of the public and/or employees?</w:t>
            </w:r>
          </w:p>
          <w:p w:rsidR="004631F4" w:rsidRDefault="004631F4">
            <w:pPr>
              <w:rPr>
                <w:b/>
              </w:rPr>
            </w:pPr>
          </w:p>
          <w:p w:rsidR="004631F4" w:rsidRDefault="00DC1890">
            <w:r>
              <w:rPr>
                <w:i/>
              </w:rPr>
              <w:t xml:space="preserve">If </w:t>
            </w:r>
            <w:r>
              <w:rPr>
                <w:b/>
                <w:i/>
              </w:rPr>
              <w:t>yes</w:t>
            </w:r>
            <w:r>
              <w:rPr>
                <w:i/>
              </w:rPr>
              <w:t xml:space="preserve"> please let your Assistant Director and the Customer Relations Team know as soon as possible</w:t>
            </w:r>
          </w:p>
        </w:tc>
        <w:tc>
          <w:tcPr>
            <w:tcW w:w="9072" w:type="dxa"/>
          </w:tcPr>
          <w:p w:rsidR="004631F4" w:rsidRDefault="004631F4">
            <w:pPr>
              <w:jc w:val="center"/>
              <w:rPr>
                <w:b/>
              </w:rPr>
            </w:pPr>
          </w:p>
          <w:p w:rsidR="004631F4" w:rsidRDefault="004631F4">
            <w:pPr>
              <w:jc w:val="center"/>
              <w:rPr>
                <w:b/>
              </w:rPr>
            </w:pPr>
          </w:p>
          <w:p w:rsidR="004631F4" w:rsidRDefault="00DC1890">
            <w:pPr>
              <w:jc w:val="center"/>
            </w:pPr>
            <w:r>
              <w:rPr>
                <w:b/>
              </w:rPr>
              <w:t>No</w:t>
            </w:r>
          </w:p>
        </w:tc>
      </w:tr>
    </w:tbl>
    <w:p w:rsidR="004631F4" w:rsidRDefault="00DC1890">
      <w:pPr>
        <w:tabs>
          <w:tab w:val="left" w:pos="2506"/>
        </w:tabs>
      </w:pPr>
      <w:r>
        <w:tab/>
      </w:r>
    </w:p>
    <w:p w:rsidR="004631F4" w:rsidRDefault="004631F4"/>
    <w:p w:rsidR="004631F4" w:rsidRDefault="00DC1890">
      <w:pPr>
        <w:jc w:val="center"/>
        <w:rPr>
          <w:b/>
        </w:rPr>
      </w:pPr>
      <w:r>
        <w:rPr>
          <w:b/>
        </w:rPr>
        <w:t>Details of service/policy/strategy/practice/plan</w:t>
      </w:r>
    </w:p>
    <w:tbl>
      <w:tblPr>
        <w:tblStyle w:val="a0"/>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4"/>
        <w:gridCol w:w="252"/>
        <w:gridCol w:w="9356"/>
      </w:tblGrid>
      <w:tr w:rsidR="004631F4">
        <w:trPr>
          <w:trHeight w:val="400"/>
        </w:trPr>
        <w:tc>
          <w:tcPr>
            <w:tcW w:w="14142" w:type="dxa"/>
            <w:gridSpan w:val="3"/>
            <w:shd w:val="clear" w:color="auto" w:fill="D9D9D9"/>
          </w:tcPr>
          <w:p w:rsidR="004631F4" w:rsidRDefault="00DC1890">
            <w:pPr>
              <w:jc w:val="center"/>
              <w:rPr>
                <w:b/>
                <w:color w:val="000000"/>
              </w:rPr>
            </w:pPr>
            <w:r>
              <w:rPr>
                <w:b/>
                <w:color w:val="000000"/>
              </w:rPr>
              <w:t>Scoping and Defining</w:t>
            </w:r>
          </w:p>
        </w:tc>
      </w:tr>
      <w:tr w:rsidR="004631F4">
        <w:trPr>
          <w:trHeight w:val="640"/>
        </w:trPr>
        <w:tc>
          <w:tcPr>
            <w:tcW w:w="4786" w:type="dxa"/>
            <w:gridSpan w:val="2"/>
          </w:tcPr>
          <w:p w:rsidR="004631F4" w:rsidRDefault="004631F4">
            <w:pPr>
              <w:pBdr>
                <w:top w:val="nil"/>
                <w:left w:val="nil"/>
                <w:bottom w:val="nil"/>
                <w:right w:val="nil"/>
                <w:between w:val="nil"/>
              </w:pBdr>
              <w:spacing w:line="276" w:lineRule="auto"/>
              <w:ind w:left="720"/>
            </w:pPr>
          </w:p>
          <w:p w:rsidR="004631F4" w:rsidRDefault="00DC1890">
            <w:pPr>
              <w:numPr>
                <w:ilvl w:val="0"/>
                <w:numId w:val="6"/>
              </w:numPr>
              <w:pBdr>
                <w:top w:val="nil"/>
                <w:left w:val="nil"/>
                <w:bottom w:val="nil"/>
                <w:right w:val="nil"/>
                <w:between w:val="nil"/>
              </w:pBdr>
              <w:spacing w:after="200" w:line="276" w:lineRule="auto"/>
            </w:pPr>
            <w:r>
              <w:rPr>
                <w:color w:val="000000"/>
              </w:rPr>
              <w:t>What are the aims, objectives and outcomes of the service/policy/strategy/practice/plan?</w:t>
            </w:r>
          </w:p>
        </w:tc>
        <w:tc>
          <w:tcPr>
            <w:tcW w:w="9356" w:type="dxa"/>
          </w:tcPr>
          <w:p w:rsidR="004631F4" w:rsidRDefault="00DC1890">
            <w:pPr>
              <w:spacing w:after="200" w:line="276" w:lineRule="auto"/>
              <w:rPr>
                <w:b/>
                <w:sz w:val="22"/>
                <w:szCs w:val="22"/>
              </w:rPr>
            </w:pPr>
            <w:r>
              <w:rPr>
                <w:b/>
                <w:sz w:val="22"/>
                <w:szCs w:val="22"/>
              </w:rPr>
              <w:t>Objectives for the strategy:</w:t>
            </w:r>
          </w:p>
          <w:p w:rsidR="004631F4" w:rsidRDefault="00DC1890">
            <w:pPr>
              <w:numPr>
                <w:ilvl w:val="0"/>
                <w:numId w:val="3"/>
              </w:numPr>
              <w:spacing w:line="276" w:lineRule="auto"/>
              <w:rPr>
                <w:b/>
                <w:sz w:val="22"/>
                <w:szCs w:val="22"/>
              </w:rPr>
            </w:pPr>
            <w:r>
              <w:rPr>
                <w:b/>
                <w:sz w:val="22"/>
                <w:szCs w:val="22"/>
              </w:rPr>
              <w:t>All young people within our schools, colleges and universities have access to high quality, relevant, inspiring and locally focussed careers information, guidance and support and are able to make informed choices</w:t>
            </w:r>
          </w:p>
          <w:p w:rsidR="004631F4" w:rsidRDefault="00DC1890">
            <w:pPr>
              <w:numPr>
                <w:ilvl w:val="0"/>
                <w:numId w:val="5"/>
              </w:numPr>
              <w:spacing w:line="276" w:lineRule="auto"/>
              <w:rPr>
                <w:b/>
                <w:sz w:val="22"/>
                <w:szCs w:val="22"/>
              </w:rPr>
            </w:pPr>
            <w:r>
              <w:rPr>
                <w:b/>
                <w:sz w:val="22"/>
                <w:szCs w:val="22"/>
              </w:rPr>
              <w:t>All our young people successfully transition from education and learning into sustainable employment</w:t>
            </w:r>
          </w:p>
          <w:p w:rsidR="004631F4" w:rsidRDefault="00DC1890">
            <w:pPr>
              <w:numPr>
                <w:ilvl w:val="0"/>
                <w:numId w:val="4"/>
              </w:numPr>
              <w:spacing w:line="276" w:lineRule="auto"/>
              <w:rPr>
                <w:b/>
                <w:sz w:val="22"/>
                <w:szCs w:val="22"/>
              </w:rPr>
            </w:pPr>
            <w:r>
              <w:rPr>
                <w:b/>
                <w:sz w:val="22"/>
                <w:szCs w:val="22"/>
              </w:rPr>
              <w:t>Our most vulnerable learners are particularly supported with this transition, and achieve positive destinations appropriate to their needs</w:t>
            </w:r>
          </w:p>
          <w:p w:rsidR="004631F4" w:rsidRDefault="00DC1890">
            <w:pPr>
              <w:numPr>
                <w:ilvl w:val="0"/>
                <w:numId w:val="7"/>
              </w:numPr>
              <w:spacing w:line="276" w:lineRule="auto"/>
              <w:rPr>
                <w:b/>
                <w:sz w:val="22"/>
                <w:szCs w:val="22"/>
              </w:rPr>
            </w:pPr>
            <w:r>
              <w:rPr>
                <w:b/>
                <w:sz w:val="22"/>
                <w:szCs w:val="22"/>
              </w:rPr>
              <w:t>Our businesses are able to access the skilled labour that they need to grow and compete</w:t>
            </w:r>
          </w:p>
          <w:p w:rsidR="004631F4" w:rsidRDefault="00DC1890">
            <w:pPr>
              <w:numPr>
                <w:ilvl w:val="0"/>
                <w:numId w:val="2"/>
              </w:numPr>
              <w:spacing w:after="200" w:line="276" w:lineRule="auto"/>
              <w:rPr>
                <w:b/>
              </w:rPr>
            </w:pPr>
            <w:r>
              <w:rPr>
                <w:rFonts w:ascii="Times New Roman" w:eastAsia="Times New Roman" w:hAnsi="Times New Roman" w:cs="Times New Roman"/>
                <w:b/>
                <w:sz w:val="14"/>
                <w:szCs w:val="14"/>
              </w:rPr>
              <w:t xml:space="preserve"> </w:t>
            </w:r>
            <w:r>
              <w:rPr>
                <w:b/>
                <w:sz w:val="22"/>
                <w:szCs w:val="22"/>
              </w:rPr>
              <w:t>Our residents are able to develop and acquire new skills throughout their lives to meet the rapidly changing labour market. This applies to those in work who wish to progress or switch roles, those seeking work and those who are or wish to be self-employed.</w:t>
            </w:r>
          </w:p>
          <w:p w:rsidR="004631F4" w:rsidRDefault="00DC1890">
            <w:pPr>
              <w:spacing w:after="200" w:line="276" w:lineRule="auto"/>
              <w:rPr>
                <w:b/>
                <w:sz w:val="22"/>
                <w:szCs w:val="22"/>
              </w:rPr>
            </w:pPr>
            <w:r>
              <w:rPr>
                <w:b/>
                <w:sz w:val="22"/>
                <w:szCs w:val="22"/>
              </w:rPr>
              <w:t xml:space="preserve"> </w:t>
            </w:r>
          </w:p>
          <w:p w:rsidR="004631F4" w:rsidRDefault="004631F4">
            <w:pPr>
              <w:rPr>
                <w:b/>
              </w:rPr>
            </w:pPr>
          </w:p>
        </w:tc>
      </w:tr>
      <w:tr w:rsidR="004631F4">
        <w:trPr>
          <w:trHeight w:val="580"/>
        </w:trPr>
        <w:tc>
          <w:tcPr>
            <w:tcW w:w="4786" w:type="dxa"/>
            <w:gridSpan w:val="2"/>
          </w:tcPr>
          <w:p w:rsidR="004631F4" w:rsidRDefault="004631F4">
            <w:pPr>
              <w:pBdr>
                <w:top w:val="nil"/>
                <w:left w:val="nil"/>
                <w:bottom w:val="nil"/>
                <w:right w:val="nil"/>
                <w:between w:val="nil"/>
              </w:pBdr>
              <w:ind w:left="720"/>
              <w:rPr>
                <w:color w:val="000000"/>
              </w:rPr>
            </w:pPr>
          </w:p>
          <w:p w:rsidR="004631F4" w:rsidRDefault="00DC1890">
            <w:pPr>
              <w:numPr>
                <w:ilvl w:val="0"/>
                <w:numId w:val="6"/>
              </w:numPr>
              <w:pBdr>
                <w:top w:val="nil"/>
                <w:left w:val="nil"/>
                <w:bottom w:val="nil"/>
                <w:right w:val="nil"/>
                <w:between w:val="nil"/>
              </w:pBdr>
            </w:pPr>
            <w:r>
              <w:rPr>
                <w:color w:val="000000"/>
              </w:rPr>
              <w:t>Who are the customers?</w:t>
            </w:r>
          </w:p>
        </w:tc>
        <w:tc>
          <w:tcPr>
            <w:tcW w:w="9356" w:type="dxa"/>
          </w:tcPr>
          <w:p w:rsidR="004631F4" w:rsidRDefault="004631F4">
            <w:pPr>
              <w:rPr>
                <w:b/>
              </w:rPr>
            </w:pPr>
          </w:p>
          <w:p w:rsidR="004631F4" w:rsidRDefault="00DC1890">
            <w:pPr>
              <w:rPr>
                <w:b/>
              </w:rPr>
            </w:pPr>
            <w:r>
              <w:rPr>
                <w:b/>
              </w:rPr>
              <w:t>Warwickshire residents of all ages 11+</w:t>
            </w:r>
          </w:p>
          <w:p w:rsidR="004631F4" w:rsidRDefault="00DC1890">
            <w:pPr>
              <w:rPr>
                <w:b/>
              </w:rPr>
            </w:pPr>
            <w:r>
              <w:rPr>
                <w:b/>
              </w:rPr>
              <w:t>Warwickshire businesses</w:t>
            </w:r>
          </w:p>
          <w:p w:rsidR="004631F4" w:rsidRDefault="004631F4">
            <w:pPr>
              <w:rPr>
                <w:b/>
              </w:rPr>
            </w:pPr>
          </w:p>
        </w:tc>
      </w:tr>
      <w:tr w:rsidR="004631F4">
        <w:trPr>
          <w:trHeight w:val="980"/>
        </w:trPr>
        <w:tc>
          <w:tcPr>
            <w:tcW w:w="4786" w:type="dxa"/>
            <w:gridSpan w:val="2"/>
          </w:tcPr>
          <w:p w:rsidR="004631F4" w:rsidRDefault="004631F4">
            <w:pPr>
              <w:pBdr>
                <w:top w:val="nil"/>
                <w:left w:val="nil"/>
                <w:bottom w:val="nil"/>
                <w:right w:val="nil"/>
                <w:between w:val="nil"/>
              </w:pBdr>
              <w:ind w:left="720"/>
              <w:rPr>
                <w:color w:val="000000"/>
              </w:rPr>
            </w:pPr>
          </w:p>
          <w:p w:rsidR="004631F4" w:rsidRDefault="00DC1890">
            <w:pPr>
              <w:numPr>
                <w:ilvl w:val="0"/>
                <w:numId w:val="6"/>
              </w:numPr>
              <w:pBdr>
                <w:top w:val="nil"/>
                <w:left w:val="nil"/>
                <w:bottom w:val="nil"/>
                <w:right w:val="nil"/>
                <w:between w:val="nil"/>
              </w:pBdr>
            </w:pPr>
            <w:r>
              <w:rPr>
                <w:color w:val="000000"/>
              </w:rPr>
              <w:t>How has equality been considered in the development or review so far?</w:t>
            </w:r>
          </w:p>
        </w:tc>
        <w:tc>
          <w:tcPr>
            <w:tcW w:w="9356" w:type="dxa"/>
          </w:tcPr>
          <w:p w:rsidR="004631F4" w:rsidRDefault="00DC1890">
            <w:pPr>
              <w:rPr>
                <w:b/>
              </w:rPr>
            </w:pPr>
            <w:r>
              <w:rPr>
                <w:b/>
              </w:rPr>
              <w:t>Equality is central to the strategy because it will support all residents and businesses</w:t>
            </w:r>
          </w:p>
        </w:tc>
      </w:tr>
      <w:tr w:rsidR="004631F4">
        <w:trPr>
          <w:trHeight w:val="980"/>
        </w:trPr>
        <w:tc>
          <w:tcPr>
            <w:tcW w:w="4786" w:type="dxa"/>
            <w:gridSpan w:val="2"/>
          </w:tcPr>
          <w:p w:rsidR="004631F4" w:rsidRDefault="004631F4">
            <w:pPr>
              <w:pBdr>
                <w:top w:val="nil"/>
                <w:left w:val="nil"/>
                <w:bottom w:val="nil"/>
                <w:right w:val="nil"/>
                <w:between w:val="nil"/>
              </w:pBdr>
              <w:spacing w:line="276" w:lineRule="auto"/>
              <w:ind w:left="720"/>
            </w:pPr>
          </w:p>
          <w:p w:rsidR="004631F4" w:rsidRDefault="00DC1890">
            <w:pPr>
              <w:numPr>
                <w:ilvl w:val="0"/>
                <w:numId w:val="6"/>
              </w:numPr>
              <w:pBdr>
                <w:top w:val="nil"/>
                <w:left w:val="nil"/>
                <w:bottom w:val="nil"/>
                <w:right w:val="nil"/>
                <w:between w:val="nil"/>
              </w:pBdr>
              <w:spacing w:after="200" w:line="276" w:lineRule="auto"/>
            </w:pPr>
            <w:r>
              <w:rPr>
                <w:color w:val="000000"/>
              </w:rPr>
              <w:t>What is the reason for the change/development?</w:t>
            </w:r>
          </w:p>
        </w:tc>
        <w:tc>
          <w:tcPr>
            <w:tcW w:w="9356" w:type="dxa"/>
          </w:tcPr>
          <w:p w:rsidR="004631F4" w:rsidRDefault="004631F4">
            <w:pPr>
              <w:rPr>
                <w:b/>
              </w:rPr>
            </w:pPr>
          </w:p>
          <w:p w:rsidR="004631F4" w:rsidRDefault="00DC1890">
            <w:pPr>
              <w:rPr>
                <w:b/>
              </w:rPr>
            </w:pPr>
            <w:r>
              <w:rPr>
                <w:b/>
              </w:rPr>
              <w:t>The Council has not had an all-age Careers strategy before. The introduction by central government of a new national Careers strategy for schools and colleges</w:t>
            </w:r>
          </w:p>
          <w:p w:rsidR="004631F4" w:rsidRDefault="00344050">
            <w:pPr>
              <w:rPr>
                <w:b/>
              </w:rPr>
            </w:pPr>
            <w:r>
              <w:rPr>
                <w:b/>
              </w:rPr>
              <w:t>in December 2017 highlighted the</w:t>
            </w:r>
            <w:r w:rsidR="00DC1890">
              <w:rPr>
                <w:b/>
              </w:rPr>
              <w:t xml:space="preserve"> need to provide support for other residents and to support our schools and colleges to meet the needs of the national strategy so young people throughout the county have equal access to support.</w:t>
            </w:r>
          </w:p>
        </w:tc>
      </w:tr>
      <w:tr w:rsidR="004631F4">
        <w:trPr>
          <w:trHeight w:val="640"/>
        </w:trPr>
        <w:tc>
          <w:tcPr>
            <w:tcW w:w="4786" w:type="dxa"/>
            <w:gridSpan w:val="2"/>
          </w:tcPr>
          <w:p w:rsidR="004631F4" w:rsidRDefault="004631F4">
            <w:pPr>
              <w:pBdr>
                <w:top w:val="nil"/>
                <w:left w:val="nil"/>
                <w:bottom w:val="nil"/>
                <w:right w:val="nil"/>
                <w:between w:val="nil"/>
              </w:pBdr>
              <w:spacing w:line="276" w:lineRule="auto"/>
              <w:ind w:left="720"/>
            </w:pPr>
          </w:p>
          <w:p w:rsidR="004631F4" w:rsidRDefault="00DC1890">
            <w:pPr>
              <w:numPr>
                <w:ilvl w:val="0"/>
                <w:numId w:val="6"/>
              </w:numPr>
              <w:pBdr>
                <w:top w:val="nil"/>
                <w:left w:val="nil"/>
                <w:bottom w:val="nil"/>
                <w:right w:val="nil"/>
                <w:between w:val="nil"/>
              </w:pBdr>
              <w:spacing w:after="200" w:line="276" w:lineRule="auto"/>
            </w:pPr>
            <w:r>
              <w:rPr>
                <w:color w:val="000000"/>
              </w:rPr>
              <w:t>How does it fit with Warwickshire County Council’s wider objectives?</w:t>
            </w:r>
          </w:p>
        </w:tc>
        <w:tc>
          <w:tcPr>
            <w:tcW w:w="9356" w:type="dxa"/>
          </w:tcPr>
          <w:p w:rsidR="004631F4" w:rsidRDefault="004631F4">
            <w:pPr>
              <w:rPr>
                <w:b/>
              </w:rPr>
            </w:pPr>
          </w:p>
          <w:p w:rsidR="004631F4" w:rsidRDefault="004631F4">
            <w:pPr>
              <w:rPr>
                <w:b/>
              </w:rPr>
            </w:pPr>
          </w:p>
          <w:p w:rsidR="004631F4" w:rsidRDefault="00DC1890">
            <w:pPr>
              <w:rPr>
                <w:b/>
                <w:sz w:val="22"/>
                <w:szCs w:val="22"/>
              </w:rPr>
            </w:pPr>
            <w:r>
              <w:rPr>
                <w:b/>
                <w:sz w:val="22"/>
                <w:szCs w:val="22"/>
              </w:rPr>
              <w:t>The strategy will support achievement of the Council’s core purpose “ to make Warwickshire the best it can be” and, in particular these two outcomes:</w:t>
            </w:r>
          </w:p>
          <w:p w:rsidR="004631F4" w:rsidRDefault="00DC1890">
            <w:pPr>
              <w:rPr>
                <w:b/>
                <w:sz w:val="22"/>
                <w:szCs w:val="22"/>
              </w:rPr>
            </w:pPr>
            <w:r>
              <w:rPr>
                <w:b/>
                <w:sz w:val="22"/>
                <w:szCs w:val="22"/>
              </w:rPr>
              <w:t xml:space="preserve"> </w:t>
            </w:r>
          </w:p>
          <w:p w:rsidR="004631F4" w:rsidRDefault="00DC1890">
            <w:pPr>
              <w:rPr>
                <w:b/>
                <w:sz w:val="22"/>
                <w:szCs w:val="22"/>
              </w:rPr>
            </w:pPr>
            <w:r>
              <w:rPr>
                <w:b/>
                <w:sz w:val="22"/>
                <w:szCs w:val="22"/>
              </w:rPr>
              <w:t>1 Warwickshire’s communities and individuals are supported to be safe, healthy and independent</w:t>
            </w:r>
          </w:p>
          <w:p w:rsidR="004631F4" w:rsidRDefault="00DC1890">
            <w:pPr>
              <w:rPr>
                <w:b/>
                <w:sz w:val="22"/>
                <w:szCs w:val="22"/>
              </w:rPr>
            </w:pPr>
            <w:r>
              <w:rPr>
                <w:b/>
                <w:sz w:val="22"/>
                <w:szCs w:val="22"/>
              </w:rPr>
              <w:t xml:space="preserve"> </w:t>
            </w:r>
          </w:p>
          <w:p w:rsidR="004631F4" w:rsidRDefault="00DC1890">
            <w:pPr>
              <w:rPr>
                <w:b/>
                <w:sz w:val="22"/>
                <w:szCs w:val="22"/>
              </w:rPr>
            </w:pPr>
            <w:r>
              <w:rPr>
                <w:b/>
                <w:sz w:val="22"/>
                <w:szCs w:val="22"/>
              </w:rPr>
              <w:t>2 Warwickshire’s economy is vibrant and supported by the right jobs, training, skills and infrastructure</w:t>
            </w:r>
          </w:p>
          <w:p w:rsidR="004631F4" w:rsidRDefault="00DC1890">
            <w:pPr>
              <w:rPr>
                <w:b/>
                <w:sz w:val="22"/>
                <w:szCs w:val="22"/>
              </w:rPr>
            </w:pPr>
            <w:r>
              <w:rPr>
                <w:b/>
                <w:sz w:val="22"/>
                <w:szCs w:val="22"/>
              </w:rPr>
              <w:t xml:space="preserve"> </w:t>
            </w:r>
          </w:p>
          <w:p w:rsidR="004631F4" w:rsidRDefault="00DC1890">
            <w:pPr>
              <w:rPr>
                <w:b/>
                <w:sz w:val="22"/>
                <w:szCs w:val="22"/>
              </w:rPr>
            </w:pPr>
            <w:r>
              <w:rPr>
                <w:b/>
                <w:sz w:val="22"/>
                <w:szCs w:val="22"/>
              </w:rPr>
              <w:t>It also links to the Warwickshire Education Strategy by supporting achievement of Priority WE4 “Our challenge is to champion employability by promoting the best opportunities for all learners”.</w:t>
            </w:r>
          </w:p>
          <w:p w:rsidR="004631F4" w:rsidRDefault="00DC1890">
            <w:pPr>
              <w:rPr>
                <w:b/>
                <w:sz w:val="22"/>
                <w:szCs w:val="22"/>
              </w:rPr>
            </w:pPr>
            <w:r>
              <w:rPr>
                <w:b/>
                <w:sz w:val="22"/>
                <w:szCs w:val="22"/>
              </w:rPr>
              <w:t xml:space="preserve"> </w:t>
            </w:r>
          </w:p>
          <w:p w:rsidR="004631F4" w:rsidRDefault="004631F4">
            <w:pPr>
              <w:rPr>
                <w:b/>
              </w:rPr>
            </w:pPr>
          </w:p>
          <w:p w:rsidR="004631F4" w:rsidRDefault="004631F4">
            <w:pPr>
              <w:rPr>
                <w:b/>
              </w:rPr>
            </w:pPr>
          </w:p>
        </w:tc>
      </w:tr>
      <w:tr w:rsidR="004631F4">
        <w:trPr>
          <w:trHeight w:val="640"/>
        </w:trPr>
        <w:tc>
          <w:tcPr>
            <w:tcW w:w="4786" w:type="dxa"/>
            <w:gridSpan w:val="2"/>
          </w:tcPr>
          <w:p w:rsidR="004631F4" w:rsidRDefault="004631F4">
            <w:pPr>
              <w:pBdr>
                <w:top w:val="nil"/>
                <w:left w:val="nil"/>
                <w:bottom w:val="nil"/>
                <w:right w:val="nil"/>
                <w:between w:val="nil"/>
              </w:pBdr>
              <w:spacing w:line="276" w:lineRule="auto"/>
              <w:ind w:left="720"/>
            </w:pPr>
          </w:p>
          <w:p w:rsidR="004631F4" w:rsidRDefault="00DC1890">
            <w:pPr>
              <w:numPr>
                <w:ilvl w:val="0"/>
                <w:numId w:val="6"/>
              </w:numPr>
              <w:pBdr>
                <w:top w:val="nil"/>
                <w:left w:val="nil"/>
                <w:bottom w:val="nil"/>
                <w:right w:val="nil"/>
                <w:between w:val="nil"/>
              </w:pBdr>
              <w:spacing w:after="200" w:line="276" w:lineRule="auto"/>
            </w:pPr>
            <w:r>
              <w:rPr>
                <w:color w:val="000000"/>
              </w:rPr>
              <w:t xml:space="preserve">Why might it be important to consider equality and the protected </w:t>
            </w:r>
            <w:r>
              <w:rPr>
                <w:color w:val="000000"/>
              </w:rPr>
              <w:lastRenderedPageBreak/>
              <w:t>characteristics?</w:t>
            </w:r>
          </w:p>
        </w:tc>
        <w:tc>
          <w:tcPr>
            <w:tcW w:w="9356" w:type="dxa"/>
          </w:tcPr>
          <w:p w:rsidR="004631F4" w:rsidRDefault="004631F4">
            <w:pPr>
              <w:rPr>
                <w:b/>
              </w:rPr>
            </w:pPr>
          </w:p>
          <w:p w:rsidR="004631F4" w:rsidRDefault="004631F4">
            <w:pPr>
              <w:rPr>
                <w:b/>
              </w:rPr>
            </w:pPr>
          </w:p>
          <w:p w:rsidR="004631F4" w:rsidRDefault="00DC1890">
            <w:pPr>
              <w:rPr>
                <w:b/>
              </w:rPr>
            </w:pPr>
            <w:r>
              <w:rPr>
                <w:b/>
              </w:rPr>
              <w:t>To ensure the strategy supports all residents aged 11+ and all businesses.</w:t>
            </w:r>
          </w:p>
          <w:p w:rsidR="004631F4" w:rsidRDefault="004631F4">
            <w:pPr>
              <w:rPr>
                <w:b/>
              </w:rPr>
            </w:pPr>
          </w:p>
          <w:p w:rsidR="004631F4" w:rsidRDefault="004631F4">
            <w:pPr>
              <w:rPr>
                <w:b/>
              </w:rPr>
            </w:pPr>
          </w:p>
          <w:p w:rsidR="004631F4" w:rsidRDefault="004631F4">
            <w:pPr>
              <w:rPr>
                <w:b/>
              </w:rPr>
            </w:pPr>
          </w:p>
          <w:p w:rsidR="004631F4" w:rsidRDefault="004631F4">
            <w:pPr>
              <w:rPr>
                <w:b/>
              </w:rPr>
            </w:pPr>
          </w:p>
        </w:tc>
      </w:tr>
      <w:tr w:rsidR="004631F4">
        <w:trPr>
          <w:trHeight w:val="300"/>
        </w:trPr>
        <w:tc>
          <w:tcPr>
            <w:tcW w:w="14142" w:type="dxa"/>
            <w:gridSpan w:val="3"/>
            <w:shd w:val="clear" w:color="auto" w:fill="D9D9D9"/>
          </w:tcPr>
          <w:p w:rsidR="004631F4" w:rsidRDefault="00DC1890">
            <w:pPr>
              <w:jc w:val="center"/>
              <w:rPr>
                <w:b/>
              </w:rPr>
            </w:pPr>
            <w:r>
              <w:rPr>
                <w:b/>
              </w:rPr>
              <w:lastRenderedPageBreak/>
              <w:t>Information Gathering</w:t>
            </w:r>
          </w:p>
        </w:tc>
      </w:tr>
      <w:tr w:rsidR="004631F4">
        <w:trPr>
          <w:trHeight w:val="940"/>
        </w:trPr>
        <w:tc>
          <w:tcPr>
            <w:tcW w:w="4534" w:type="dxa"/>
          </w:tcPr>
          <w:p w:rsidR="004631F4" w:rsidRDefault="004631F4">
            <w:pPr>
              <w:pBdr>
                <w:top w:val="nil"/>
                <w:left w:val="nil"/>
                <w:bottom w:val="nil"/>
                <w:right w:val="nil"/>
                <w:between w:val="nil"/>
              </w:pBdr>
              <w:tabs>
                <w:tab w:val="left" w:pos="0"/>
              </w:tabs>
              <w:ind w:left="720"/>
              <w:rPr>
                <w:color w:val="000000"/>
              </w:rPr>
            </w:pPr>
          </w:p>
          <w:p w:rsidR="004631F4" w:rsidRDefault="00DC1890">
            <w:pPr>
              <w:numPr>
                <w:ilvl w:val="0"/>
                <w:numId w:val="6"/>
              </w:numPr>
              <w:pBdr>
                <w:top w:val="nil"/>
                <w:left w:val="nil"/>
                <w:bottom w:val="nil"/>
                <w:right w:val="nil"/>
                <w:between w:val="nil"/>
              </w:pBdr>
              <w:tabs>
                <w:tab w:val="left" w:pos="0"/>
              </w:tabs>
            </w:pPr>
            <w:r>
              <w:rPr>
                <w:color w:val="000000"/>
              </w:rPr>
              <w:t>What sources of data have you used?</w:t>
            </w:r>
          </w:p>
          <w:p w:rsidR="004631F4" w:rsidRDefault="004631F4">
            <w:pPr>
              <w:pBdr>
                <w:top w:val="nil"/>
                <w:left w:val="nil"/>
                <w:bottom w:val="nil"/>
                <w:right w:val="nil"/>
                <w:between w:val="nil"/>
              </w:pBdr>
              <w:tabs>
                <w:tab w:val="left" w:pos="0"/>
              </w:tabs>
              <w:rPr>
                <w:color w:val="000000"/>
              </w:rPr>
            </w:pPr>
          </w:p>
          <w:p w:rsidR="004631F4" w:rsidRDefault="00DC1890">
            <w:pPr>
              <w:pBdr>
                <w:top w:val="nil"/>
                <w:left w:val="nil"/>
                <w:bottom w:val="nil"/>
                <w:right w:val="nil"/>
                <w:between w:val="nil"/>
              </w:pBdr>
              <w:tabs>
                <w:tab w:val="left" w:pos="0"/>
              </w:tabs>
              <w:rPr>
                <w:i/>
                <w:color w:val="000000"/>
              </w:rPr>
            </w:pPr>
            <w:r>
              <w:rPr>
                <w:i/>
                <w:color w:val="000000"/>
              </w:rPr>
              <w:t>You must keep a record of any data you have currently used as supporting evidence</w:t>
            </w:r>
          </w:p>
        </w:tc>
        <w:tc>
          <w:tcPr>
            <w:tcW w:w="9608" w:type="dxa"/>
            <w:gridSpan w:val="2"/>
          </w:tcPr>
          <w:p w:rsidR="004631F4" w:rsidRDefault="004631F4">
            <w:pPr>
              <w:rPr>
                <w:b/>
              </w:rPr>
            </w:pPr>
          </w:p>
          <w:p w:rsidR="004631F4" w:rsidRDefault="00DC1890">
            <w:pPr>
              <w:rPr>
                <w:b/>
              </w:rPr>
            </w:pPr>
            <w:r>
              <w:rPr>
                <w:b/>
              </w:rPr>
              <w:t>Development of the strategy has been informed by a comprehensive range of data from national and local sources (many at borough/district level) including:</w:t>
            </w:r>
          </w:p>
          <w:p w:rsidR="004631F4" w:rsidRDefault="004631F4">
            <w:pPr>
              <w:rPr>
                <w:b/>
              </w:rPr>
            </w:pPr>
          </w:p>
          <w:p w:rsidR="004631F4" w:rsidRDefault="004631F4">
            <w:pPr>
              <w:rPr>
                <w:b/>
              </w:rPr>
            </w:pPr>
          </w:p>
          <w:p w:rsidR="004631F4" w:rsidRDefault="00DC1890">
            <w:pPr>
              <w:rPr>
                <w:b/>
              </w:rPr>
            </w:pPr>
            <w:r>
              <w:rPr>
                <w:b/>
              </w:rPr>
              <w:t>Employment rates; Job Seeker rates; Post 16 participation rates; Not in Employment, Education or Training (NEET) rates; Qualification levels of workforce; current and forecast Skills shortages and gaps; deprivation index; SEND pupils gaining employment; Care leavers gaining employment or staying in education; students at local universities gaining employment in Warwickshire; armed forces leavers gaining employment</w:t>
            </w:r>
          </w:p>
          <w:p w:rsidR="004631F4" w:rsidRDefault="004631F4">
            <w:pPr>
              <w:rPr>
                <w:b/>
              </w:rPr>
            </w:pPr>
          </w:p>
          <w:p w:rsidR="004631F4" w:rsidRDefault="00DC1890">
            <w:pPr>
              <w:rPr>
                <w:b/>
              </w:rPr>
            </w:pPr>
            <w:r>
              <w:rPr>
                <w:b/>
              </w:rPr>
              <w:t>The data has been analysed and discussed by the Employability &amp; Skills Board comprising a comprehensive range of internal and external stakeholders and partners. Development of the strategy has been directed by those discussions and agre</w:t>
            </w:r>
            <w:r w:rsidR="0091011F">
              <w:rPr>
                <w:b/>
              </w:rPr>
              <w:t>ement reached at the Employability &amp; Skills</w:t>
            </w:r>
            <w:r>
              <w:rPr>
                <w:b/>
              </w:rPr>
              <w:t xml:space="preserve"> board meeting</w:t>
            </w:r>
            <w:r w:rsidR="0091011F">
              <w:rPr>
                <w:b/>
              </w:rPr>
              <w:t>s</w:t>
            </w:r>
            <w:r>
              <w:rPr>
                <w:b/>
              </w:rPr>
              <w:t xml:space="preserve"> held in the period November 2018-May 2019.</w:t>
            </w:r>
          </w:p>
          <w:p w:rsidR="004631F4" w:rsidRDefault="004631F4">
            <w:pPr>
              <w:rPr>
                <w:b/>
              </w:rPr>
            </w:pPr>
          </w:p>
          <w:p w:rsidR="004631F4" w:rsidRDefault="00DC1890">
            <w:pPr>
              <w:rPr>
                <w:b/>
              </w:rPr>
            </w:pPr>
            <w:r>
              <w:rPr>
                <w:b/>
              </w:rPr>
              <w:t>Range of research work &amp; policy papers regarding future skills, future occupations, impact of careers advice and employability activity on work prospects and income.</w:t>
            </w:r>
          </w:p>
          <w:p w:rsidR="004631F4" w:rsidRDefault="004631F4">
            <w:pPr>
              <w:rPr>
                <w:b/>
              </w:rPr>
            </w:pPr>
          </w:p>
        </w:tc>
      </w:tr>
      <w:tr w:rsidR="004631F4">
        <w:trPr>
          <w:trHeight w:val="1280"/>
        </w:trPr>
        <w:tc>
          <w:tcPr>
            <w:tcW w:w="4534" w:type="dxa"/>
          </w:tcPr>
          <w:p w:rsidR="004631F4" w:rsidRDefault="004631F4">
            <w:pPr>
              <w:pBdr>
                <w:top w:val="nil"/>
                <w:left w:val="nil"/>
                <w:bottom w:val="nil"/>
                <w:right w:val="nil"/>
                <w:between w:val="nil"/>
              </w:pBdr>
              <w:tabs>
                <w:tab w:val="left" w:pos="0"/>
              </w:tabs>
              <w:ind w:left="720"/>
              <w:rPr>
                <w:color w:val="000000"/>
              </w:rPr>
            </w:pPr>
          </w:p>
          <w:p w:rsidR="004631F4" w:rsidRDefault="00DC1890">
            <w:pPr>
              <w:numPr>
                <w:ilvl w:val="0"/>
                <w:numId w:val="6"/>
              </w:numPr>
              <w:pBdr>
                <w:top w:val="nil"/>
                <w:left w:val="nil"/>
                <w:bottom w:val="nil"/>
                <w:right w:val="nil"/>
                <w:between w:val="nil"/>
              </w:pBdr>
              <w:tabs>
                <w:tab w:val="left" w:pos="0"/>
              </w:tabs>
            </w:pPr>
            <w:r>
              <w:rPr>
                <w:color w:val="000000"/>
              </w:rPr>
              <w:t>What does the data you have tell you about your customers and about protected equality groups?</w:t>
            </w:r>
          </w:p>
        </w:tc>
        <w:tc>
          <w:tcPr>
            <w:tcW w:w="9608" w:type="dxa"/>
            <w:gridSpan w:val="2"/>
          </w:tcPr>
          <w:p w:rsidR="004631F4" w:rsidRDefault="00DC1890">
            <w:pPr>
              <w:rPr>
                <w:b/>
              </w:rPr>
            </w:pPr>
            <w:r>
              <w:rPr>
                <w:b/>
              </w:rPr>
              <w:t>The priorities for the strategy and supporting action plan outline a range of activities to provide improved support for all residents and businesses including specific actions for these vulnerable groups; SEND pupils,</w:t>
            </w:r>
            <w:r w:rsidR="007C61B4">
              <w:rPr>
                <w:b/>
              </w:rPr>
              <w:t xml:space="preserve"> </w:t>
            </w:r>
            <w:r>
              <w:rPr>
                <w:b/>
              </w:rPr>
              <w:t>Care leavers and young people who are not in employment, education or training (NEET) or at risk of being so.</w:t>
            </w:r>
          </w:p>
          <w:p w:rsidR="004631F4" w:rsidRDefault="004631F4">
            <w:pPr>
              <w:rPr>
                <w:b/>
              </w:rPr>
            </w:pPr>
          </w:p>
          <w:p w:rsidR="004631F4" w:rsidRDefault="00DC1890">
            <w:pPr>
              <w:rPr>
                <w:b/>
              </w:rPr>
            </w:pPr>
            <w:r>
              <w:rPr>
                <w:b/>
              </w:rPr>
              <w:t>Place of residence is a major issue as access to employment and Career opportunities varies across borough and districts</w:t>
            </w:r>
          </w:p>
          <w:p w:rsidR="004631F4" w:rsidRDefault="004631F4">
            <w:pPr>
              <w:rPr>
                <w:b/>
              </w:rPr>
            </w:pPr>
          </w:p>
          <w:p w:rsidR="004631F4" w:rsidRDefault="00DC1890">
            <w:pPr>
              <w:rPr>
                <w:b/>
              </w:rPr>
            </w:pPr>
            <w:r>
              <w:rPr>
                <w:b/>
              </w:rPr>
              <w:t>Business report a range of Skills shortages and gaps. There is a particular need for people in the workforce to develop higher level skills and for businesses to be able to recruit more people with higher level skills e.g. from local universities.</w:t>
            </w:r>
          </w:p>
          <w:p w:rsidR="004631F4" w:rsidRDefault="004631F4">
            <w:pPr>
              <w:rPr>
                <w:b/>
              </w:rPr>
            </w:pPr>
          </w:p>
          <w:p w:rsidR="004631F4" w:rsidRDefault="00DC1890">
            <w:pPr>
              <w:rPr>
                <w:b/>
              </w:rPr>
            </w:pPr>
            <w:r>
              <w:rPr>
                <w:b/>
              </w:rPr>
              <w:t>Issues around changing nature of work (including automation), shift to higher skill level occupations, and impact on lower skilled, manual or repetitive task-based occupations.  Need for reskilling and upskilling in line with changing economy and increased use of technology.</w:t>
            </w:r>
          </w:p>
          <w:p w:rsidR="004631F4" w:rsidRDefault="004631F4">
            <w:pPr>
              <w:rPr>
                <w:b/>
              </w:rPr>
            </w:pPr>
          </w:p>
        </w:tc>
      </w:tr>
      <w:tr w:rsidR="004631F4">
        <w:trPr>
          <w:trHeight w:val="960"/>
        </w:trPr>
        <w:tc>
          <w:tcPr>
            <w:tcW w:w="4534" w:type="dxa"/>
          </w:tcPr>
          <w:p w:rsidR="004631F4" w:rsidRDefault="004631F4">
            <w:pPr>
              <w:pBdr>
                <w:top w:val="nil"/>
                <w:left w:val="nil"/>
                <w:bottom w:val="nil"/>
                <w:right w:val="nil"/>
                <w:between w:val="nil"/>
              </w:pBdr>
              <w:tabs>
                <w:tab w:val="left" w:pos="0"/>
              </w:tabs>
              <w:ind w:left="720"/>
              <w:rPr>
                <w:b/>
              </w:rPr>
            </w:pPr>
          </w:p>
          <w:p w:rsidR="004631F4" w:rsidRDefault="00DC1890">
            <w:pPr>
              <w:numPr>
                <w:ilvl w:val="0"/>
                <w:numId w:val="6"/>
              </w:numPr>
              <w:pBdr>
                <w:top w:val="nil"/>
                <w:left w:val="nil"/>
                <w:bottom w:val="nil"/>
                <w:right w:val="nil"/>
                <w:between w:val="nil"/>
              </w:pBdr>
              <w:tabs>
                <w:tab w:val="left" w:pos="0"/>
              </w:tabs>
            </w:pPr>
            <w:r>
              <w:t>What do you need to know more about?</w:t>
            </w:r>
          </w:p>
        </w:tc>
        <w:tc>
          <w:tcPr>
            <w:tcW w:w="9608" w:type="dxa"/>
            <w:gridSpan w:val="2"/>
          </w:tcPr>
          <w:p w:rsidR="004631F4" w:rsidRDefault="00DC1890">
            <w:pPr>
              <w:rPr>
                <w:b/>
              </w:rPr>
            </w:pPr>
            <w:r>
              <w:rPr>
                <w:b/>
              </w:rPr>
              <w:t xml:space="preserve">Whether there are residents or businesses who require more support than is proposed in the strategy being consulted on. </w:t>
            </w:r>
          </w:p>
        </w:tc>
      </w:tr>
      <w:tr w:rsidR="004631F4">
        <w:trPr>
          <w:trHeight w:val="1260"/>
        </w:trPr>
        <w:tc>
          <w:tcPr>
            <w:tcW w:w="4534" w:type="dxa"/>
          </w:tcPr>
          <w:p w:rsidR="004631F4" w:rsidRDefault="004631F4">
            <w:pPr>
              <w:pBdr>
                <w:top w:val="nil"/>
                <w:left w:val="nil"/>
                <w:bottom w:val="nil"/>
                <w:right w:val="nil"/>
                <w:between w:val="nil"/>
              </w:pBdr>
              <w:tabs>
                <w:tab w:val="left" w:pos="0"/>
              </w:tabs>
              <w:rPr>
                <w:color w:val="000000"/>
              </w:rPr>
            </w:pPr>
          </w:p>
          <w:p w:rsidR="004631F4" w:rsidRDefault="00DC1890">
            <w:pPr>
              <w:numPr>
                <w:ilvl w:val="0"/>
                <w:numId w:val="6"/>
              </w:numPr>
              <w:pBdr>
                <w:top w:val="nil"/>
                <w:left w:val="nil"/>
                <w:bottom w:val="nil"/>
                <w:right w:val="nil"/>
                <w:between w:val="nil"/>
              </w:pBdr>
              <w:tabs>
                <w:tab w:val="left" w:pos="0"/>
              </w:tabs>
              <w:spacing w:after="200" w:line="276" w:lineRule="auto"/>
            </w:pPr>
            <w:r>
              <w:rPr>
                <w:color w:val="000000"/>
              </w:rPr>
              <w:t>How could you find this out and who could help you?</w:t>
            </w:r>
          </w:p>
        </w:tc>
        <w:tc>
          <w:tcPr>
            <w:tcW w:w="9608" w:type="dxa"/>
            <w:gridSpan w:val="2"/>
          </w:tcPr>
          <w:p w:rsidR="004631F4" w:rsidRDefault="00DC1890">
            <w:pPr>
              <w:rPr>
                <w:b/>
              </w:rPr>
            </w:pPr>
            <w:r>
              <w:rPr>
                <w:b/>
              </w:rPr>
              <w:t>The public consultation and supporting communications activity developed with the WCC Communications team</w:t>
            </w:r>
          </w:p>
        </w:tc>
      </w:tr>
      <w:tr w:rsidR="004631F4">
        <w:trPr>
          <w:trHeight w:val="300"/>
        </w:trPr>
        <w:tc>
          <w:tcPr>
            <w:tcW w:w="14142" w:type="dxa"/>
            <w:gridSpan w:val="3"/>
            <w:shd w:val="clear" w:color="auto" w:fill="D9D9D9"/>
          </w:tcPr>
          <w:p w:rsidR="004631F4" w:rsidRDefault="00DC1890">
            <w:pPr>
              <w:jc w:val="center"/>
              <w:rPr>
                <w:b/>
              </w:rPr>
            </w:pPr>
            <w:r>
              <w:rPr>
                <w:b/>
              </w:rPr>
              <w:t>Engagement and Consultation</w:t>
            </w:r>
          </w:p>
        </w:tc>
      </w:tr>
      <w:tr w:rsidR="004631F4">
        <w:trPr>
          <w:trHeight w:val="1220"/>
        </w:trPr>
        <w:tc>
          <w:tcPr>
            <w:tcW w:w="4534" w:type="dxa"/>
          </w:tcPr>
          <w:p w:rsidR="004631F4" w:rsidRDefault="004631F4">
            <w:pPr>
              <w:pBdr>
                <w:top w:val="nil"/>
                <w:left w:val="nil"/>
                <w:bottom w:val="nil"/>
                <w:right w:val="nil"/>
                <w:between w:val="nil"/>
              </w:pBdr>
              <w:spacing w:line="276" w:lineRule="auto"/>
              <w:ind w:left="720" w:hanging="720"/>
              <w:rPr>
                <w:color w:val="000000"/>
              </w:rPr>
            </w:pPr>
          </w:p>
          <w:p w:rsidR="004631F4" w:rsidRDefault="00DC1890">
            <w:pPr>
              <w:numPr>
                <w:ilvl w:val="0"/>
                <w:numId w:val="6"/>
              </w:numPr>
              <w:pBdr>
                <w:top w:val="nil"/>
                <w:left w:val="nil"/>
                <w:bottom w:val="nil"/>
                <w:right w:val="nil"/>
                <w:between w:val="nil"/>
              </w:pBdr>
              <w:spacing w:after="200" w:line="276" w:lineRule="auto"/>
            </w:pPr>
            <w:r>
              <w:rPr>
                <w:color w:val="000000"/>
              </w:rPr>
              <w:t>Who have you consulted with from protected equality groups?</w:t>
            </w:r>
          </w:p>
        </w:tc>
        <w:tc>
          <w:tcPr>
            <w:tcW w:w="9608" w:type="dxa"/>
            <w:gridSpan w:val="2"/>
          </w:tcPr>
          <w:p w:rsidR="004631F4" w:rsidRDefault="00DC1890">
            <w:pPr>
              <w:rPr>
                <w:b/>
              </w:rPr>
            </w:pPr>
            <w:r>
              <w:rPr>
                <w:b/>
              </w:rPr>
              <w:t>SEND</w:t>
            </w:r>
          </w:p>
          <w:p w:rsidR="004631F4" w:rsidRDefault="00DC1890">
            <w:pPr>
              <w:rPr>
                <w:b/>
              </w:rPr>
            </w:pPr>
            <w:r>
              <w:rPr>
                <w:b/>
              </w:rPr>
              <w:t>CARE LEAVERS FORUM</w:t>
            </w:r>
          </w:p>
          <w:p w:rsidR="004631F4" w:rsidRDefault="00DC1890">
            <w:pPr>
              <w:rPr>
                <w:b/>
              </w:rPr>
            </w:pPr>
            <w:r>
              <w:rPr>
                <w:b/>
              </w:rPr>
              <w:t>Young People not in Employment, Education or Training</w:t>
            </w:r>
          </w:p>
          <w:p w:rsidR="004631F4" w:rsidRDefault="00DC1890">
            <w:pPr>
              <w:rPr>
                <w:b/>
              </w:rPr>
            </w:pPr>
            <w:r>
              <w:rPr>
                <w:b/>
              </w:rPr>
              <w:t>WCC LEAD FOR VULNERABLE ADULTS</w:t>
            </w:r>
          </w:p>
          <w:p w:rsidR="004631F4" w:rsidRDefault="004631F4">
            <w:pPr>
              <w:rPr>
                <w:b/>
              </w:rPr>
            </w:pPr>
          </w:p>
        </w:tc>
      </w:tr>
      <w:tr w:rsidR="004631F4">
        <w:trPr>
          <w:trHeight w:val="980"/>
        </w:trPr>
        <w:tc>
          <w:tcPr>
            <w:tcW w:w="4534" w:type="dxa"/>
          </w:tcPr>
          <w:p w:rsidR="004631F4" w:rsidRDefault="004631F4">
            <w:pPr>
              <w:pBdr>
                <w:top w:val="nil"/>
                <w:left w:val="nil"/>
                <w:bottom w:val="nil"/>
                <w:right w:val="nil"/>
                <w:between w:val="nil"/>
              </w:pBdr>
              <w:spacing w:line="276" w:lineRule="auto"/>
              <w:ind w:left="720" w:hanging="720"/>
              <w:rPr>
                <w:color w:val="000000"/>
              </w:rPr>
            </w:pPr>
          </w:p>
          <w:p w:rsidR="004631F4" w:rsidRDefault="00DC1890">
            <w:pPr>
              <w:numPr>
                <w:ilvl w:val="0"/>
                <w:numId w:val="6"/>
              </w:numPr>
              <w:pBdr>
                <w:top w:val="nil"/>
                <w:left w:val="nil"/>
                <w:bottom w:val="nil"/>
                <w:right w:val="nil"/>
                <w:between w:val="nil"/>
              </w:pBdr>
              <w:spacing w:after="200" w:line="276" w:lineRule="auto"/>
            </w:pPr>
            <w:r>
              <w:rPr>
                <w:color w:val="000000"/>
              </w:rPr>
              <w:t>Who else could you consult with?</w:t>
            </w:r>
          </w:p>
        </w:tc>
        <w:tc>
          <w:tcPr>
            <w:tcW w:w="9608" w:type="dxa"/>
            <w:gridSpan w:val="2"/>
          </w:tcPr>
          <w:p w:rsidR="004631F4" w:rsidRDefault="007C61B4">
            <w:pPr>
              <w:rPr>
                <w:b/>
              </w:rPr>
            </w:pPr>
            <w:r>
              <w:rPr>
                <w:b/>
              </w:rPr>
              <w:t>Wider public across Warwickshire</w:t>
            </w:r>
          </w:p>
        </w:tc>
      </w:tr>
      <w:tr w:rsidR="004631F4">
        <w:trPr>
          <w:trHeight w:val="840"/>
        </w:trPr>
        <w:tc>
          <w:tcPr>
            <w:tcW w:w="4534" w:type="dxa"/>
          </w:tcPr>
          <w:p w:rsidR="004631F4" w:rsidRDefault="004631F4">
            <w:pPr>
              <w:pBdr>
                <w:top w:val="nil"/>
                <w:left w:val="nil"/>
                <w:bottom w:val="nil"/>
                <w:right w:val="nil"/>
                <w:between w:val="nil"/>
              </w:pBdr>
              <w:spacing w:line="276" w:lineRule="auto"/>
              <w:ind w:left="720" w:hanging="720"/>
              <w:rPr>
                <w:color w:val="000000"/>
              </w:rPr>
            </w:pPr>
          </w:p>
          <w:p w:rsidR="004631F4" w:rsidRDefault="00DC1890">
            <w:pPr>
              <w:numPr>
                <w:ilvl w:val="0"/>
                <w:numId w:val="6"/>
              </w:numPr>
              <w:pBdr>
                <w:top w:val="nil"/>
                <w:left w:val="nil"/>
                <w:bottom w:val="nil"/>
                <w:right w:val="nil"/>
                <w:between w:val="nil"/>
              </w:pBdr>
              <w:spacing w:after="200" w:line="276" w:lineRule="auto"/>
            </w:pPr>
            <w:r>
              <w:rPr>
                <w:color w:val="000000"/>
              </w:rPr>
              <w:t>Who can help you to do this?</w:t>
            </w:r>
          </w:p>
        </w:tc>
        <w:tc>
          <w:tcPr>
            <w:tcW w:w="9608" w:type="dxa"/>
            <w:gridSpan w:val="2"/>
          </w:tcPr>
          <w:p w:rsidR="004631F4" w:rsidRDefault="007C61B4">
            <w:pPr>
              <w:rPr>
                <w:b/>
              </w:rPr>
            </w:pPr>
            <w:r w:rsidRPr="007C61B4">
              <w:rPr>
                <w:b/>
              </w:rPr>
              <w:t xml:space="preserve">The public consultation and supporting communications activity </w:t>
            </w:r>
            <w:r>
              <w:rPr>
                <w:b/>
              </w:rPr>
              <w:t xml:space="preserve">has been </w:t>
            </w:r>
            <w:r w:rsidRPr="007C61B4">
              <w:rPr>
                <w:b/>
              </w:rPr>
              <w:t>developed with the WCC Communications team</w:t>
            </w:r>
          </w:p>
        </w:tc>
      </w:tr>
      <w:tr w:rsidR="004631F4">
        <w:trPr>
          <w:trHeight w:val="360"/>
        </w:trPr>
        <w:tc>
          <w:tcPr>
            <w:tcW w:w="14142" w:type="dxa"/>
            <w:gridSpan w:val="3"/>
            <w:shd w:val="clear" w:color="auto" w:fill="CCCCCC"/>
          </w:tcPr>
          <w:p w:rsidR="004631F4" w:rsidRDefault="00DC1890">
            <w:pPr>
              <w:pBdr>
                <w:top w:val="nil"/>
                <w:left w:val="nil"/>
                <w:bottom w:val="nil"/>
                <w:right w:val="nil"/>
                <w:between w:val="nil"/>
              </w:pBdr>
              <w:spacing w:line="276" w:lineRule="auto"/>
              <w:jc w:val="center"/>
              <w:rPr>
                <w:b/>
                <w:color w:val="000000"/>
              </w:rPr>
            </w:pPr>
            <w:r>
              <w:rPr>
                <w:b/>
              </w:rPr>
              <w:t>Monitor and Evaluate</w:t>
            </w:r>
          </w:p>
        </w:tc>
      </w:tr>
      <w:tr w:rsidR="004631F4">
        <w:trPr>
          <w:trHeight w:val="840"/>
        </w:trPr>
        <w:tc>
          <w:tcPr>
            <w:tcW w:w="4534" w:type="dxa"/>
          </w:tcPr>
          <w:p w:rsidR="004631F4" w:rsidRDefault="004631F4">
            <w:pPr>
              <w:pBdr>
                <w:top w:val="nil"/>
                <w:left w:val="nil"/>
                <w:bottom w:val="nil"/>
                <w:right w:val="nil"/>
                <w:between w:val="nil"/>
              </w:pBdr>
              <w:spacing w:line="276" w:lineRule="auto"/>
            </w:pPr>
          </w:p>
          <w:p w:rsidR="004631F4" w:rsidRDefault="00DC1890">
            <w:pPr>
              <w:pBdr>
                <w:top w:val="nil"/>
                <w:left w:val="nil"/>
                <w:bottom w:val="nil"/>
                <w:right w:val="nil"/>
                <w:between w:val="nil"/>
              </w:pBdr>
              <w:spacing w:line="276" w:lineRule="auto"/>
              <w:rPr>
                <w:color w:val="000000"/>
              </w:rPr>
            </w:pPr>
            <w:r>
              <w:t>(14) How will you monitor and evaluate the service/policy/strategy/practice/plan?</w:t>
            </w:r>
          </w:p>
        </w:tc>
        <w:tc>
          <w:tcPr>
            <w:tcW w:w="9608" w:type="dxa"/>
            <w:gridSpan w:val="2"/>
          </w:tcPr>
          <w:p w:rsidR="004631F4" w:rsidRDefault="00DC1890">
            <w:pPr>
              <w:rPr>
                <w:b/>
              </w:rPr>
            </w:pPr>
            <w:r>
              <w:rPr>
                <w:b/>
              </w:rPr>
              <w:t xml:space="preserve">The feedback from the public consultation will be synthesised and discussed by senior staff from the Communities directorate. Amendments to the strategy will then be discussed and agreed at the Employability &amp; Skills Board chaired by WCC Strategic Director, Mark Ryder, which comprises a range of internal and external delivery teams and partners. The board will then monitor implementation of the strategy at its quarterly meetings. Amendments to the strategy will be made, as required. </w:t>
            </w:r>
          </w:p>
        </w:tc>
      </w:tr>
    </w:tbl>
    <w:p w:rsidR="004631F4" w:rsidRDefault="004631F4">
      <w:pPr>
        <w:rPr>
          <w:b/>
        </w:rPr>
      </w:pPr>
    </w:p>
    <w:p w:rsidR="004631F4" w:rsidRDefault="00DC1890">
      <w:pPr>
        <w:jc w:val="center"/>
        <w:rPr>
          <w:b/>
        </w:rPr>
      </w:pPr>
      <w:r>
        <w:rPr>
          <w:b/>
          <w:i/>
        </w:rPr>
        <w:t xml:space="preserve">Please note: Further information and advice about the corporate consultation process can be found </w:t>
      </w:r>
      <w:hyperlink r:id="rId8">
        <w:r>
          <w:rPr>
            <w:b/>
            <w:i/>
            <w:color w:val="1155CC"/>
            <w:u w:val="single"/>
          </w:rPr>
          <w:t>here</w:t>
        </w:r>
      </w:hyperlink>
      <w:r>
        <w:rPr>
          <w:b/>
        </w:rPr>
        <w:t>.</w:t>
      </w:r>
    </w:p>
    <w:p w:rsidR="004631F4" w:rsidRDefault="004631F4">
      <w:pPr>
        <w:jc w:val="center"/>
        <w:rPr>
          <w:b/>
        </w:rPr>
      </w:pPr>
    </w:p>
    <w:p w:rsidR="004631F4" w:rsidRDefault="004631F4">
      <w:pPr>
        <w:jc w:val="center"/>
        <w:rPr>
          <w:b/>
        </w:rPr>
      </w:pPr>
    </w:p>
    <w:p w:rsidR="004631F4" w:rsidRDefault="004631F4">
      <w:pPr>
        <w:widowControl w:val="0"/>
        <w:pBdr>
          <w:top w:val="nil"/>
          <w:left w:val="nil"/>
          <w:bottom w:val="nil"/>
          <w:right w:val="nil"/>
          <w:between w:val="nil"/>
        </w:pBdr>
        <w:spacing w:after="0"/>
        <w:rPr>
          <w:b/>
        </w:rPr>
      </w:pPr>
    </w:p>
    <w:p w:rsidR="004631F4" w:rsidRDefault="004631F4">
      <w:pPr>
        <w:widowControl w:val="0"/>
        <w:pBdr>
          <w:top w:val="nil"/>
          <w:left w:val="nil"/>
          <w:bottom w:val="nil"/>
          <w:right w:val="nil"/>
          <w:between w:val="nil"/>
        </w:pBdr>
        <w:spacing w:after="0"/>
        <w:rPr>
          <w:b/>
        </w:rPr>
      </w:pPr>
    </w:p>
    <w:tbl>
      <w:tblPr>
        <w:tblStyle w:val="a1"/>
        <w:tblW w:w="143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0"/>
        <w:gridCol w:w="2700"/>
        <w:gridCol w:w="2130"/>
        <w:gridCol w:w="2130"/>
        <w:gridCol w:w="5415"/>
      </w:tblGrid>
      <w:tr w:rsidR="004631F4">
        <w:tc>
          <w:tcPr>
            <w:tcW w:w="14325"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1F4" w:rsidRDefault="00DC1890">
            <w:pPr>
              <w:widowControl w:val="0"/>
              <w:rPr>
                <w:b/>
              </w:rPr>
            </w:pPr>
            <w:r>
              <w:rPr>
                <w:b/>
              </w:rPr>
              <w:t>(15) Analysis of impact and potential actions:</w:t>
            </w:r>
          </w:p>
        </w:tc>
      </w:tr>
      <w:tr w:rsidR="004631F4">
        <w:tc>
          <w:tcPr>
            <w:tcW w:w="195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31F4" w:rsidRDefault="00DC1890">
            <w:pPr>
              <w:widowControl w:val="0"/>
              <w:rPr>
                <w:b/>
              </w:rPr>
            </w:pPr>
            <w:r>
              <w:rPr>
                <w:b/>
              </w:rPr>
              <w:t xml:space="preserve"> Protected characteristics from the Equality Act 2010</w:t>
            </w:r>
          </w:p>
        </w:tc>
        <w:tc>
          <w:tcPr>
            <w:tcW w:w="270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631F4" w:rsidRDefault="00DC1890">
            <w:pPr>
              <w:widowControl w:val="0"/>
              <w:jc w:val="center"/>
              <w:rPr>
                <w:b/>
              </w:rPr>
            </w:pPr>
            <w:r>
              <w:rPr>
                <w:b/>
              </w:rPr>
              <w:t>What do you know?</w:t>
            </w:r>
          </w:p>
          <w:p w:rsidR="004631F4" w:rsidRDefault="00DC1890">
            <w:pPr>
              <w:widowControl w:val="0"/>
              <w:jc w:val="center"/>
              <w:rPr>
                <w:b/>
              </w:rPr>
            </w:pPr>
            <w:r>
              <w:rPr>
                <w:b/>
              </w:rPr>
              <w:t>Summary of data about/feedback from your service-users and/or staff</w:t>
            </w:r>
          </w:p>
        </w:tc>
        <w:tc>
          <w:tcPr>
            <w:tcW w:w="42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631F4" w:rsidRDefault="00DC1890">
            <w:pPr>
              <w:widowControl w:val="0"/>
              <w:jc w:val="center"/>
              <w:rPr>
                <w:b/>
              </w:rPr>
            </w:pPr>
            <w:r>
              <w:rPr>
                <w:b/>
              </w:rPr>
              <w:t>What does this mean?</w:t>
            </w:r>
          </w:p>
          <w:p w:rsidR="004631F4" w:rsidRDefault="00DC1890">
            <w:pPr>
              <w:widowControl w:val="0"/>
              <w:rPr>
                <w:b/>
              </w:rPr>
            </w:pPr>
            <w:r>
              <w:rPr>
                <w:b/>
              </w:rPr>
              <w:t xml:space="preserve"> </w:t>
            </w:r>
          </w:p>
        </w:tc>
        <w:tc>
          <w:tcPr>
            <w:tcW w:w="5415"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631F4" w:rsidRDefault="00DC1890">
            <w:pPr>
              <w:widowControl w:val="0"/>
              <w:rPr>
                <w:b/>
              </w:rPr>
            </w:pPr>
            <w:r>
              <w:rPr>
                <w:b/>
              </w:rPr>
              <w:t>What can you do?</w:t>
            </w:r>
          </w:p>
          <w:p w:rsidR="004631F4" w:rsidRDefault="00DC1890">
            <w:pPr>
              <w:widowControl w:val="0"/>
              <w:rPr>
                <w:b/>
              </w:rPr>
            </w:pPr>
            <w:r>
              <w:rPr>
                <w:b/>
              </w:rPr>
              <w:t>All potential actions to:</w:t>
            </w:r>
          </w:p>
          <w:p w:rsidR="004631F4" w:rsidRDefault="00DC1890">
            <w:pPr>
              <w:widowControl w:val="0"/>
              <w:ind w:left="1080" w:hanging="360"/>
              <w:rPr>
                <w:b/>
              </w:rPr>
            </w:pPr>
            <w:r>
              <w:rPr>
                <w:rFonts w:ascii="Noto Sans Symbols" w:eastAsia="Noto Sans Symbols" w:hAnsi="Noto Sans Symbols" w:cs="Noto Sans Symbols"/>
                <w:b/>
              </w:rPr>
              <w:t xml:space="preserve">●   </w:t>
            </w:r>
            <w:r>
              <w:rPr>
                <w:rFonts w:ascii="Noto Sans Symbols" w:eastAsia="Noto Sans Symbols" w:hAnsi="Noto Sans Symbols" w:cs="Noto Sans Symbols"/>
                <w:b/>
              </w:rPr>
              <w:tab/>
            </w:r>
            <w:r>
              <w:rPr>
                <w:b/>
              </w:rPr>
              <w:t>Eliminate discrimination/mitigate  negative impact</w:t>
            </w:r>
          </w:p>
          <w:p w:rsidR="004631F4" w:rsidRDefault="00DC1890">
            <w:pPr>
              <w:widowControl w:val="0"/>
              <w:ind w:left="1080" w:hanging="360"/>
              <w:rPr>
                <w:b/>
              </w:rPr>
            </w:pPr>
            <w:r>
              <w:rPr>
                <w:rFonts w:ascii="Noto Sans Symbols" w:eastAsia="Noto Sans Symbols" w:hAnsi="Noto Sans Symbols" w:cs="Noto Sans Symbols"/>
                <w:b/>
              </w:rPr>
              <w:t xml:space="preserve">●   </w:t>
            </w:r>
            <w:r>
              <w:rPr>
                <w:rFonts w:ascii="Noto Sans Symbols" w:eastAsia="Noto Sans Symbols" w:hAnsi="Noto Sans Symbols" w:cs="Noto Sans Symbols"/>
                <w:b/>
              </w:rPr>
              <w:tab/>
            </w:r>
            <w:r>
              <w:rPr>
                <w:b/>
              </w:rPr>
              <w:t>Advance equality of opportunity</w:t>
            </w:r>
          </w:p>
          <w:p w:rsidR="004631F4" w:rsidRDefault="00DC1890">
            <w:pPr>
              <w:widowControl w:val="0"/>
              <w:ind w:left="1080" w:hanging="360"/>
              <w:rPr>
                <w:b/>
              </w:rPr>
            </w:pPr>
            <w:r>
              <w:rPr>
                <w:rFonts w:ascii="Noto Sans Symbols" w:eastAsia="Noto Sans Symbols" w:hAnsi="Noto Sans Symbols" w:cs="Noto Sans Symbols"/>
                <w:b/>
              </w:rPr>
              <w:t xml:space="preserve">●   </w:t>
            </w:r>
            <w:r>
              <w:rPr>
                <w:rFonts w:ascii="Noto Sans Symbols" w:eastAsia="Noto Sans Symbols" w:hAnsi="Noto Sans Symbols" w:cs="Noto Sans Symbols"/>
                <w:b/>
              </w:rPr>
              <w:tab/>
            </w:r>
            <w:r>
              <w:rPr>
                <w:b/>
              </w:rPr>
              <w:t>Foster good relations</w:t>
            </w:r>
          </w:p>
        </w:tc>
      </w:tr>
      <w:tr w:rsidR="004631F4">
        <w:tc>
          <w:tcPr>
            <w:tcW w:w="1950"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31F4" w:rsidRDefault="004631F4">
            <w:pPr>
              <w:widowControl w:val="0"/>
              <w:pBdr>
                <w:top w:val="nil"/>
                <w:left w:val="nil"/>
                <w:bottom w:val="nil"/>
                <w:right w:val="nil"/>
                <w:between w:val="nil"/>
              </w:pBdr>
              <w:spacing w:line="276" w:lineRule="auto"/>
              <w:rPr>
                <w:b/>
              </w:rPr>
            </w:pPr>
          </w:p>
        </w:tc>
        <w:tc>
          <w:tcPr>
            <w:tcW w:w="270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631F4" w:rsidRDefault="004631F4">
            <w:pPr>
              <w:widowControl w:val="0"/>
              <w:pBdr>
                <w:top w:val="nil"/>
                <w:left w:val="nil"/>
                <w:bottom w:val="nil"/>
                <w:right w:val="nil"/>
                <w:between w:val="nil"/>
              </w:pBdr>
              <w:spacing w:line="276" w:lineRule="auto"/>
              <w:rPr>
                <w:b/>
              </w:rPr>
            </w:pPr>
          </w:p>
        </w:tc>
        <w:tc>
          <w:tcPr>
            <w:tcW w:w="21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631F4" w:rsidRDefault="00DC1890">
            <w:pPr>
              <w:widowControl w:val="0"/>
              <w:spacing w:before="480"/>
              <w:jc w:val="center"/>
              <w:rPr>
                <w:b/>
              </w:rPr>
            </w:pPr>
            <w:r>
              <w:rPr>
                <w:b/>
              </w:rPr>
              <w:t>Positive impacts identified (actual and potential)</w:t>
            </w:r>
          </w:p>
        </w:tc>
        <w:tc>
          <w:tcPr>
            <w:tcW w:w="21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631F4" w:rsidRDefault="00DC1890">
            <w:pPr>
              <w:widowControl w:val="0"/>
              <w:spacing w:before="480"/>
              <w:jc w:val="center"/>
              <w:rPr>
                <w:b/>
              </w:rPr>
            </w:pPr>
            <w:r>
              <w:rPr>
                <w:b/>
              </w:rPr>
              <w:t>Negative impacts identified (actual and potential)</w:t>
            </w:r>
          </w:p>
        </w:tc>
        <w:tc>
          <w:tcPr>
            <w:tcW w:w="541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631F4" w:rsidRDefault="004631F4">
            <w:pPr>
              <w:widowControl w:val="0"/>
              <w:pBdr>
                <w:top w:val="nil"/>
                <w:left w:val="nil"/>
                <w:bottom w:val="nil"/>
                <w:right w:val="nil"/>
                <w:between w:val="nil"/>
              </w:pBdr>
              <w:spacing w:line="276" w:lineRule="auto"/>
              <w:rPr>
                <w:b/>
              </w:rPr>
            </w:pPr>
          </w:p>
        </w:tc>
      </w:tr>
      <w:tr w:rsidR="004631F4">
        <w:tc>
          <w:tcPr>
            <w:tcW w:w="1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31F4" w:rsidRDefault="00DC1890">
            <w:pPr>
              <w:widowControl w:val="0"/>
              <w:spacing w:before="480"/>
              <w:rPr>
                <w:b/>
              </w:rPr>
            </w:pPr>
            <w:r>
              <w:rPr>
                <w:b/>
              </w:rPr>
              <w:t>Age</w:t>
            </w:r>
          </w:p>
        </w:tc>
        <w:tc>
          <w:tcPr>
            <w:tcW w:w="2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631F4" w:rsidRDefault="00DC1890">
            <w:pPr>
              <w:widowControl w:val="0"/>
              <w:spacing w:before="480"/>
              <w:rPr>
                <w:b/>
              </w:rPr>
            </w:pPr>
            <w:r>
              <w:rPr>
                <w:b/>
              </w:rPr>
              <w:t>Participation in Employment Education and Training at 16 is high</w:t>
            </w:r>
          </w:p>
          <w:p w:rsidR="004631F4" w:rsidRDefault="004631F4">
            <w:pPr>
              <w:widowControl w:val="0"/>
              <w:spacing w:before="480"/>
              <w:rPr>
                <w:b/>
              </w:rPr>
            </w:pPr>
          </w:p>
          <w:p w:rsidR="004631F4" w:rsidRDefault="004631F4">
            <w:pPr>
              <w:widowControl w:val="0"/>
              <w:spacing w:before="480"/>
              <w:rPr>
                <w:b/>
              </w:rPr>
            </w:pPr>
          </w:p>
          <w:p w:rsidR="004631F4" w:rsidRDefault="00DC1890">
            <w:pPr>
              <w:widowControl w:val="0"/>
              <w:spacing w:before="480"/>
              <w:rPr>
                <w:b/>
              </w:rPr>
            </w:pPr>
            <w:r>
              <w:rPr>
                <w:b/>
              </w:rPr>
              <w:t>Rate of 16-17 year olds who are not in Employment, Education or Training is low and reducing</w:t>
            </w:r>
          </w:p>
          <w:p w:rsidR="004631F4" w:rsidRDefault="004631F4">
            <w:pPr>
              <w:widowControl w:val="0"/>
              <w:spacing w:before="480"/>
              <w:rPr>
                <w:b/>
              </w:rPr>
            </w:pPr>
          </w:p>
        </w:tc>
        <w:tc>
          <w:tcPr>
            <w:tcW w:w="21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631F4" w:rsidRDefault="00DC1890">
            <w:pPr>
              <w:widowControl w:val="0"/>
              <w:spacing w:before="480"/>
              <w:rPr>
                <w:b/>
              </w:rPr>
            </w:pPr>
            <w:r>
              <w:rPr>
                <w:b/>
              </w:rPr>
              <w:t xml:space="preserve">The strategy includes a specific priority on providing targeted support to our most vulnerable groups. </w:t>
            </w:r>
          </w:p>
          <w:p w:rsidR="004631F4" w:rsidRDefault="00DC1890">
            <w:pPr>
              <w:widowControl w:val="0"/>
              <w:spacing w:before="480"/>
              <w:rPr>
                <w:b/>
              </w:rPr>
            </w:pPr>
            <w:r>
              <w:rPr>
                <w:b/>
              </w:rPr>
              <w:t>Specifically, it aims to improve information about and access to Careers support for all residents aged 11+</w:t>
            </w:r>
          </w:p>
          <w:p w:rsidR="004631F4" w:rsidRDefault="004631F4">
            <w:pPr>
              <w:widowControl w:val="0"/>
              <w:spacing w:before="480"/>
              <w:rPr>
                <w:b/>
              </w:rPr>
            </w:pPr>
          </w:p>
          <w:p w:rsidR="004631F4" w:rsidRDefault="00DC1890">
            <w:pPr>
              <w:widowControl w:val="0"/>
              <w:spacing w:before="480"/>
              <w:rPr>
                <w:b/>
              </w:rPr>
            </w:pPr>
            <w:r>
              <w:rPr>
                <w:b/>
              </w:rPr>
              <w:t>The strategy should lead to further improvements in support and reduced rates</w:t>
            </w:r>
          </w:p>
        </w:tc>
        <w:tc>
          <w:tcPr>
            <w:tcW w:w="21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631F4" w:rsidRDefault="00DC1890">
            <w:pPr>
              <w:widowControl w:val="0"/>
              <w:spacing w:before="480"/>
              <w:rPr>
                <w:b/>
              </w:rPr>
            </w:pPr>
            <w:r>
              <w:rPr>
                <w:b/>
              </w:rPr>
              <w:t xml:space="preserve"> Potential for imbalance in support for different age groups</w:t>
            </w:r>
          </w:p>
        </w:tc>
        <w:tc>
          <w:tcPr>
            <w:tcW w:w="54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631F4" w:rsidRDefault="00DC1890">
            <w:pPr>
              <w:widowControl w:val="0"/>
              <w:spacing w:before="480"/>
              <w:rPr>
                <w:b/>
              </w:rPr>
            </w:pPr>
            <w:r>
              <w:rPr>
                <w:b/>
              </w:rPr>
              <w:t xml:space="preserve"> Regular monitoring and review of the strategy and its implementation will include analysis of impact on full range of age groups</w:t>
            </w:r>
          </w:p>
        </w:tc>
      </w:tr>
      <w:tr w:rsidR="004631F4">
        <w:tc>
          <w:tcPr>
            <w:tcW w:w="1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31F4" w:rsidRDefault="00DC1890">
            <w:pPr>
              <w:widowControl w:val="0"/>
              <w:spacing w:before="480"/>
              <w:rPr>
                <w:b/>
              </w:rPr>
            </w:pPr>
            <w:r>
              <w:rPr>
                <w:b/>
              </w:rPr>
              <w:t>Disability</w:t>
            </w:r>
          </w:p>
        </w:tc>
        <w:tc>
          <w:tcPr>
            <w:tcW w:w="2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631F4" w:rsidRDefault="00DC1890">
            <w:pPr>
              <w:widowControl w:val="0"/>
              <w:spacing w:before="480"/>
              <w:rPr>
                <w:b/>
              </w:rPr>
            </w:pPr>
            <w:r>
              <w:rPr>
                <w:b/>
              </w:rPr>
              <w:t xml:space="preserve"> </w:t>
            </w:r>
          </w:p>
        </w:tc>
        <w:tc>
          <w:tcPr>
            <w:tcW w:w="21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631F4" w:rsidRDefault="00DC1890">
            <w:pPr>
              <w:widowControl w:val="0"/>
              <w:spacing w:before="480"/>
              <w:rPr>
                <w:b/>
              </w:rPr>
            </w:pPr>
            <w:r>
              <w:rPr>
                <w:b/>
              </w:rPr>
              <w:t xml:space="preserve">The strategy includes a specific priority on providing targeted support to our most vulnerable groups. </w:t>
            </w:r>
          </w:p>
          <w:p w:rsidR="004631F4" w:rsidRDefault="00DC1890">
            <w:pPr>
              <w:widowControl w:val="0"/>
              <w:spacing w:before="480"/>
              <w:rPr>
                <w:b/>
              </w:rPr>
            </w:pPr>
            <w:r>
              <w:rPr>
                <w:b/>
              </w:rPr>
              <w:t xml:space="preserve">The strategy states: </w:t>
            </w:r>
          </w:p>
          <w:p w:rsidR="004631F4" w:rsidRDefault="00DC1890">
            <w:pPr>
              <w:widowControl w:val="0"/>
              <w:spacing w:before="480"/>
              <w:rPr>
                <w:b/>
              </w:rPr>
            </w:pPr>
            <w:r>
              <w:rPr>
                <w:b/>
              </w:rPr>
              <w:t xml:space="preserve">There are huge opportunities to work pro-actively with our education providers, vulnerable learners and businesses to better identify and promote employment and career opportunities, and to put in place support packages that help all three parties to enable significant improvement in the proportion of vulnerable learners to enter into sustainable employment.  </w:t>
            </w:r>
          </w:p>
        </w:tc>
        <w:tc>
          <w:tcPr>
            <w:tcW w:w="21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631F4" w:rsidRDefault="00DC1890">
            <w:pPr>
              <w:widowControl w:val="0"/>
              <w:spacing w:before="480"/>
              <w:rPr>
                <w:b/>
              </w:rPr>
            </w:pPr>
            <w:r>
              <w:rPr>
                <w:b/>
              </w:rPr>
              <w:t xml:space="preserve"> </w:t>
            </w:r>
          </w:p>
        </w:tc>
        <w:tc>
          <w:tcPr>
            <w:tcW w:w="54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631F4" w:rsidRDefault="00DC1890">
            <w:pPr>
              <w:widowControl w:val="0"/>
              <w:spacing w:before="480"/>
              <w:rPr>
                <w:b/>
              </w:rPr>
            </w:pPr>
            <w:r>
              <w:rPr>
                <w:b/>
              </w:rPr>
              <w:t>Teams and partner organisations delivering support linked to the strategy will report regularly on engagement of this group and compare it with level prior to introduction of the strategy</w:t>
            </w:r>
          </w:p>
          <w:p w:rsidR="004631F4" w:rsidRDefault="00DC1890">
            <w:pPr>
              <w:widowControl w:val="0"/>
              <w:spacing w:before="480"/>
              <w:rPr>
                <w:b/>
              </w:rPr>
            </w:pPr>
            <w:r>
              <w:rPr>
                <w:b/>
              </w:rPr>
              <w:t>The main new source of information about Careers support will be on the WCC website. The webpage will include a feedback mechanism which will enable users to say if their needs are met. Feedback from  protected groups like this one will be analysed and compared with feedback from other groups to.</w:t>
            </w:r>
          </w:p>
        </w:tc>
      </w:tr>
      <w:tr w:rsidR="004631F4">
        <w:tc>
          <w:tcPr>
            <w:tcW w:w="1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31F4" w:rsidRDefault="00DC1890">
            <w:pPr>
              <w:widowControl w:val="0"/>
              <w:spacing w:before="480"/>
              <w:rPr>
                <w:b/>
              </w:rPr>
            </w:pPr>
            <w:r>
              <w:rPr>
                <w:b/>
              </w:rPr>
              <w:t>Sex</w:t>
            </w:r>
          </w:p>
        </w:tc>
        <w:tc>
          <w:tcPr>
            <w:tcW w:w="2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631F4" w:rsidRDefault="00DC1890">
            <w:pPr>
              <w:widowControl w:val="0"/>
              <w:spacing w:before="480"/>
              <w:rPr>
                <w:b/>
              </w:rPr>
            </w:pPr>
            <w:r>
              <w:rPr>
                <w:b/>
              </w:rPr>
              <w:t>No issues have been identified to date</w:t>
            </w:r>
          </w:p>
        </w:tc>
        <w:tc>
          <w:tcPr>
            <w:tcW w:w="21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631F4" w:rsidRDefault="00DC1890">
            <w:pPr>
              <w:widowControl w:val="0"/>
              <w:spacing w:before="480"/>
              <w:rPr>
                <w:b/>
              </w:rPr>
            </w:pPr>
            <w:r>
              <w:rPr>
                <w:b/>
              </w:rPr>
              <w:t xml:space="preserve"> </w:t>
            </w:r>
          </w:p>
        </w:tc>
        <w:tc>
          <w:tcPr>
            <w:tcW w:w="21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631F4" w:rsidRDefault="00DC1890">
            <w:pPr>
              <w:widowControl w:val="0"/>
              <w:spacing w:before="480"/>
              <w:rPr>
                <w:b/>
              </w:rPr>
            </w:pPr>
            <w:r>
              <w:rPr>
                <w:b/>
              </w:rPr>
              <w:t xml:space="preserve"> </w:t>
            </w:r>
          </w:p>
        </w:tc>
        <w:tc>
          <w:tcPr>
            <w:tcW w:w="54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631F4" w:rsidRDefault="00DC1890">
            <w:pPr>
              <w:widowControl w:val="0"/>
              <w:spacing w:before="480"/>
              <w:rPr>
                <w:b/>
              </w:rPr>
            </w:pPr>
            <w:r>
              <w:rPr>
                <w:b/>
              </w:rPr>
              <w:t xml:space="preserve"> </w:t>
            </w:r>
          </w:p>
        </w:tc>
      </w:tr>
      <w:tr w:rsidR="004631F4">
        <w:tc>
          <w:tcPr>
            <w:tcW w:w="1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31F4" w:rsidRDefault="00DC1890">
            <w:pPr>
              <w:widowControl w:val="0"/>
              <w:spacing w:before="480"/>
              <w:rPr>
                <w:b/>
              </w:rPr>
            </w:pPr>
            <w:r>
              <w:rPr>
                <w:b/>
              </w:rPr>
              <w:t>Race</w:t>
            </w:r>
          </w:p>
        </w:tc>
        <w:tc>
          <w:tcPr>
            <w:tcW w:w="2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631F4" w:rsidRDefault="00DC1890">
            <w:pPr>
              <w:widowControl w:val="0"/>
              <w:spacing w:before="480"/>
              <w:rPr>
                <w:b/>
              </w:rPr>
            </w:pPr>
            <w:r>
              <w:rPr>
                <w:b/>
              </w:rPr>
              <w:t>No issues have been identified to date</w:t>
            </w:r>
          </w:p>
        </w:tc>
        <w:tc>
          <w:tcPr>
            <w:tcW w:w="21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631F4" w:rsidRDefault="00DC1890">
            <w:pPr>
              <w:widowControl w:val="0"/>
              <w:spacing w:before="480"/>
              <w:rPr>
                <w:b/>
              </w:rPr>
            </w:pPr>
            <w:r>
              <w:rPr>
                <w:b/>
              </w:rPr>
              <w:t xml:space="preserve"> </w:t>
            </w:r>
          </w:p>
        </w:tc>
        <w:tc>
          <w:tcPr>
            <w:tcW w:w="21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631F4" w:rsidRDefault="00DC1890">
            <w:pPr>
              <w:widowControl w:val="0"/>
              <w:spacing w:before="480"/>
              <w:rPr>
                <w:b/>
              </w:rPr>
            </w:pPr>
            <w:r>
              <w:rPr>
                <w:b/>
              </w:rPr>
              <w:t xml:space="preserve"> </w:t>
            </w:r>
          </w:p>
        </w:tc>
        <w:tc>
          <w:tcPr>
            <w:tcW w:w="54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631F4" w:rsidRDefault="00DC1890">
            <w:pPr>
              <w:widowControl w:val="0"/>
              <w:spacing w:before="480"/>
              <w:rPr>
                <w:b/>
              </w:rPr>
            </w:pPr>
            <w:r>
              <w:rPr>
                <w:b/>
              </w:rPr>
              <w:t xml:space="preserve"> </w:t>
            </w:r>
          </w:p>
        </w:tc>
      </w:tr>
      <w:tr w:rsidR="004631F4">
        <w:tc>
          <w:tcPr>
            <w:tcW w:w="1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31F4" w:rsidRDefault="00DC1890">
            <w:pPr>
              <w:widowControl w:val="0"/>
              <w:spacing w:before="480"/>
              <w:rPr>
                <w:b/>
              </w:rPr>
            </w:pPr>
            <w:r>
              <w:rPr>
                <w:b/>
              </w:rPr>
              <w:t>Religion or belief</w:t>
            </w:r>
          </w:p>
        </w:tc>
        <w:tc>
          <w:tcPr>
            <w:tcW w:w="2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631F4" w:rsidRDefault="00DC1890">
            <w:pPr>
              <w:widowControl w:val="0"/>
              <w:spacing w:before="480"/>
              <w:rPr>
                <w:b/>
              </w:rPr>
            </w:pPr>
            <w:r>
              <w:rPr>
                <w:b/>
              </w:rPr>
              <w:t xml:space="preserve"> No issues have been identified to date</w:t>
            </w:r>
          </w:p>
        </w:tc>
        <w:tc>
          <w:tcPr>
            <w:tcW w:w="21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631F4" w:rsidRDefault="00DC1890">
            <w:pPr>
              <w:widowControl w:val="0"/>
              <w:spacing w:before="480"/>
              <w:rPr>
                <w:b/>
              </w:rPr>
            </w:pPr>
            <w:r>
              <w:rPr>
                <w:b/>
              </w:rPr>
              <w:t xml:space="preserve"> </w:t>
            </w:r>
          </w:p>
        </w:tc>
        <w:tc>
          <w:tcPr>
            <w:tcW w:w="21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631F4" w:rsidRDefault="00DC1890">
            <w:pPr>
              <w:widowControl w:val="0"/>
              <w:spacing w:before="480"/>
              <w:rPr>
                <w:b/>
              </w:rPr>
            </w:pPr>
            <w:r>
              <w:rPr>
                <w:b/>
              </w:rPr>
              <w:t xml:space="preserve"> </w:t>
            </w:r>
          </w:p>
        </w:tc>
        <w:tc>
          <w:tcPr>
            <w:tcW w:w="54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631F4" w:rsidRDefault="00DC1890">
            <w:pPr>
              <w:widowControl w:val="0"/>
              <w:spacing w:before="480"/>
              <w:rPr>
                <w:b/>
              </w:rPr>
            </w:pPr>
            <w:r>
              <w:rPr>
                <w:b/>
              </w:rPr>
              <w:t xml:space="preserve"> </w:t>
            </w:r>
          </w:p>
        </w:tc>
      </w:tr>
      <w:tr w:rsidR="004631F4">
        <w:tc>
          <w:tcPr>
            <w:tcW w:w="1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31F4" w:rsidRDefault="00DC1890">
            <w:pPr>
              <w:widowControl w:val="0"/>
              <w:spacing w:before="480"/>
              <w:rPr>
                <w:b/>
              </w:rPr>
            </w:pPr>
            <w:r>
              <w:rPr>
                <w:b/>
              </w:rPr>
              <w:t>Gender Reassignment</w:t>
            </w:r>
          </w:p>
        </w:tc>
        <w:tc>
          <w:tcPr>
            <w:tcW w:w="2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631F4" w:rsidRDefault="00DC1890">
            <w:pPr>
              <w:widowControl w:val="0"/>
              <w:spacing w:before="480"/>
              <w:rPr>
                <w:b/>
              </w:rPr>
            </w:pPr>
            <w:r>
              <w:rPr>
                <w:b/>
              </w:rPr>
              <w:t xml:space="preserve"> No issues have been identified to date</w:t>
            </w:r>
          </w:p>
        </w:tc>
        <w:tc>
          <w:tcPr>
            <w:tcW w:w="21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631F4" w:rsidRDefault="00DC1890">
            <w:pPr>
              <w:widowControl w:val="0"/>
              <w:spacing w:before="480"/>
              <w:rPr>
                <w:b/>
              </w:rPr>
            </w:pPr>
            <w:r>
              <w:rPr>
                <w:b/>
              </w:rPr>
              <w:t xml:space="preserve"> </w:t>
            </w:r>
          </w:p>
        </w:tc>
        <w:tc>
          <w:tcPr>
            <w:tcW w:w="21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631F4" w:rsidRDefault="00DC1890">
            <w:pPr>
              <w:widowControl w:val="0"/>
              <w:spacing w:before="480"/>
              <w:rPr>
                <w:b/>
              </w:rPr>
            </w:pPr>
            <w:r>
              <w:rPr>
                <w:b/>
              </w:rPr>
              <w:t xml:space="preserve"> </w:t>
            </w:r>
          </w:p>
        </w:tc>
        <w:tc>
          <w:tcPr>
            <w:tcW w:w="54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631F4" w:rsidRDefault="00DC1890">
            <w:pPr>
              <w:widowControl w:val="0"/>
              <w:spacing w:before="480"/>
              <w:rPr>
                <w:b/>
              </w:rPr>
            </w:pPr>
            <w:r>
              <w:rPr>
                <w:b/>
              </w:rPr>
              <w:t xml:space="preserve"> </w:t>
            </w:r>
          </w:p>
        </w:tc>
      </w:tr>
      <w:tr w:rsidR="004631F4">
        <w:tc>
          <w:tcPr>
            <w:tcW w:w="1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31F4" w:rsidRDefault="00DC1890">
            <w:pPr>
              <w:widowControl w:val="0"/>
              <w:spacing w:before="480"/>
              <w:rPr>
                <w:b/>
              </w:rPr>
            </w:pPr>
            <w:r>
              <w:rPr>
                <w:b/>
              </w:rPr>
              <w:t>Pregnancy and Maternity</w:t>
            </w:r>
          </w:p>
        </w:tc>
        <w:tc>
          <w:tcPr>
            <w:tcW w:w="2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631F4" w:rsidRDefault="00DC1890">
            <w:pPr>
              <w:widowControl w:val="0"/>
              <w:spacing w:before="480"/>
              <w:rPr>
                <w:b/>
              </w:rPr>
            </w:pPr>
            <w:r>
              <w:rPr>
                <w:b/>
              </w:rPr>
              <w:t xml:space="preserve"> No issues have been identified to date</w:t>
            </w:r>
          </w:p>
        </w:tc>
        <w:tc>
          <w:tcPr>
            <w:tcW w:w="21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631F4" w:rsidRDefault="00DC1890">
            <w:pPr>
              <w:widowControl w:val="0"/>
              <w:spacing w:before="480"/>
              <w:rPr>
                <w:b/>
              </w:rPr>
            </w:pPr>
            <w:r>
              <w:rPr>
                <w:b/>
              </w:rPr>
              <w:t xml:space="preserve"> </w:t>
            </w:r>
          </w:p>
        </w:tc>
        <w:tc>
          <w:tcPr>
            <w:tcW w:w="21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631F4" w:rsidRDefault="00DC1890">
            <w:pPr>
              <w:widowControl w:val="0"/>
              <w:spacing w:before="480"/>
              <w:rPr>
                <w:b/>
              </w:rPr>
            </w:pPr>
            <w:r>
              <w:rPr>
                <w:b/>
              </w:rPr>
              <w:t xml:space="preserve"> </w:t>
            </w:r>
          </w:p>
        </w:tc>
        <w:tc>
          <w:tcPr>
            <w:tcW w:w="54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631F4" w:rsidRDefault="00DC1890">
            <w:pPr>
              <w:widowControl w:val="0"/>
              <w:spacing w:before="480"/>
              <w:rPr>
                <w:b/>
              </w:rPr>
            </w:pPr>
            <w:r>
              <w:rPr>
                <w:b/>
              </w:rPr>
              <w:t xml:space="preserve"> </w:t>
            </w:r>
          </w:p>
        </w:tc>
      </w:tr>
      <w:tr w:rsidR="004631F4">
        <w:tc>
          <w:tcPr>
            <w:tcW w:w="1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31F4" w:rsidRDefault="00DC1890">
            <w:pPr>
              <w:widowControl w:val="0"/>
              <w:spacing w:before="480"/>
              <w:rPr>
                <w:b/>
              </w:rPr>
            </w:pPr>
            <w:r>
              <w:rPr>
                <w:b/>
              </w:rPr>
              <w:t>Sexual orientation</w:t>
            </w:r>
          </w:p>
        </w:tc>
        <w:tc>
          <w:tcPr>
            <w:tcW w:w="2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631F4" w:rsidRDefault="00DC1890">
            <w:pPr>
              <w:widowControl w:val="0"/>
              <w:spacing w:before="480"/>
              <w:rPr>
                <w:b/>
              </w:rPr>
            </w:pPr>
            <w:r>
              <w:rPr>
                <w:b/>
              </w:rPr>
              <w:t xml:space="preserve"> No issues have been identified to date</w:t>
            </w:r>
          </w:p>
        </w:tc>
        <w:tc>
          <w:tcPr>
            <w:tcW w:w="21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631F4" w:rsidRDefault="00DC1890">
            <w:pPr>
              <w:widowControl w:val="0"/>
              <w:spacing w:before="480"/>
              <w:rPr>
                <w:b/>
              </w:rPr>
            </w:pPr>
            <w:r>
              <w:rPr>
                <w:b/>
              </w:rPr>
              <w:t xml:space="preserve"> </w:t>
            </w:r>
          </w:p>
        </w:tc>
        <w:tc>
          <w:tcPr>
            <w:tcW w:w="21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631F4" w:rsidRDefault="00DC1890">
            <w:pPr>
              <w:widowControl w:val="0"/>
              <w:spacing w:before="480"/>
              <w:rPr>
                <w:b/>
              </w:rPr>
            </w:pPr>
            <w:r>
              <w:rPr>
                <w:b/>
              </w:rPr>
              <w:t xml:space="preserve"> </w:t>
            </w:r>
          </w:p>
        </w:tc>
        <w:tc>
          <w:tcPr>
            <w:tcW w:w="54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631F4" w:rsidRDefault="00DC1890">
            <w:pPr>
              <w:widowControl w:val="0"/>
              <w:spacing w:before="480"/>
              <w:rPr>
                <w:b/>
              </w:rPr>
            </w:pPr>
            <w:r>
              <w:rPr>
                <w:b/>
              </w:rPr>
              <w:t xml:space="preserve"> </w:t>
            </w:r>
          </w:p>
        </w:tc>
      </w:tr>
      <w:tr w:rsidR="004631F4">
        <w:tc>
          <w:tcPr>
            <w:tcW w:w="1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31F4" w:rsidRDefault="00DC1890">
            <w:pPr>
              <w:widowControl w:val="0"/>
              <w:spacing w:before="480"/>
              <w:rPr>
                <w:b/>
              </w:rPr>
            </w:pPr>
            <w:r>
              <w:rPr>
                <w:b/>
              </w:rPr>
              <w:t>Marriage and Civil Partnership</w:t>
            </w:r>
          </w:p>
          <w:p w:rsidR="004631F4" w:rsidRDefault="00DC1890">
            <w:pPr>
              <w:widowControl w:val="0"/>
              <w:spacing w:before="480"/>
              <w:rPr>
                <w:b/>
              </w:rPr>
            </w:pPr>
            <w:r>
              <w:rPr>
                <w:b/>
              </w:rPr>
              <w:t>(Note: only in relation to due regard to eliminating unlawful discrimination)</w:t>
            </w:r>
          </w:p>
        </w:tc>
        <w:tc>
          <w:tcPr>
            <w:tcW w:w="2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631F4" w:rsidRDefault="00DC1890">
            <w:pPr>
              <w:widowControl w:val="0"/>
              <w:spacing w:before="480"/>
              <w:rPr>
                <w:b/>
              </w:rPr>
            </w:pPr>
            <w:r>
              <w:rPr>
                <w:b/>
              </w:rPr>
              <w:t xml:space="preserve"> No issues have been identified to date</w:t>
            </w:r>
          </w:p>
        </w:tc>
        <w:tc>
          <w:tcPr>
            <w:tcW w:w="21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631F4" w:rsidRDefault="00DC1890">
            <w:pPr>
              <w:widowControl w:val="0"/>
              <w:spacing w:before="480"/>
              <w:rPr>
                <w:b/>
              </w:rPr>
            </w:pPr>
            <w:r>
              <w:rPr>
                <w:b/>
              </w:rPr>
              <w:t xml:space="preserve"> </w:t>
            </w:r>
          </w:p>
        </w:tc>
        <w:tc>
          <w:tcPr>
            <w:tcW w:w="21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631F4" w:rsidRDefault="00DC1890">
            <w:pPr>
              <w:widowControl w:val="0"/>
              <w:spacing w:before="480"/>
              <w:rPr>
                <w:b/>
              </w:rPr>
            </w:pPr>
            <w:r>
              <w:rPr>
                <w:b/>
              </w:rPr>
              <w:t xml:space="preserve"> </w:t>
            </w:r>
          </w:p>
        </w:tc>
        <w:tc>
          <w:tcPr>
            <w:tcW w:w="54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631F4" w:rsidRDefault="00DC1890">
            <w:pPr>
              <w:widowControl w:val="0"/>
              <w:spacing w:before="480"/>
              <w:rPr>
                <w:rFonts w:ascii="Cambria" w:eastAsia="Cambria" w:hAnsi="Cambria" w:cs="Cambria"/>
                <w:b/>
                <w:color w:val="366091"/>
                <w:sz w:val="28"/>
                <w:szCs w:val="28"/>
              </w:rPr>
            </w:pPr>
            <w:r>
              <w:rPr>
                <w:rFonts w:ascii="Cambria" w:eastAsia="Cambria" w:hAnsi="Cambria" w:cs="Cambria"/>
                <w:b/>
                <w:color w:val="366091"/>
                <w:sz w:val="28"/>
                <w:szCs w:val="28"/>
              </w:rPr>
              <w:t xml:space="preserve"> </w:t>
            </w:r>
          </w:p>
        </w:tc>
      </w:tr>
    </w:tbl>
    <w:p w:rsidR="004631F4" w:rsidRDefault="004631F4">
      <w:pPr>
        <w:widowControl w:val="0"/>
        <w:pBdr>
          <w:top w:val="nil"/>
          <w:left w:val="nil"/>
          <w:bottom w:val="nil"/>
          <w:right w:val="nil"/>
          <w:between w:val="nil"/>
        </w:pBdr>
        <w:spacing w:after="0"/>
        <w:rPr>
          <w:b/>
        </w:rPr>
      </w:pPr>
    </w:p>
    <w:p w:rsidR="004631F4" w:rsidRDefault="004631F4">
      <w:pPr>
        <w:widowControl w:val="0"/>
        <w:pBdr>
          <w:top w:val="nil"/>
          <w:left w:val="nil"/>
          <w:bottom w:val="nil"/>
          <w:right w:val="nil"/>
          <w:between w:val="nil"/>
        </w:pBdr>
        <w:spacing w:after="0"/>
        <w:rPr>
          <w:b/>
        </w:rPr>
      </w:pPr>
    </w:p>
    <w:p w:rsidR="004631F4" w:rsidRDefault="004631F4">
      <w:pPr>
        <w:widowControl w:val="0"/>
        <w:pBdr>
          <w:top w:val="nil"/>
          <w:left w:val="nil"/>
          <w:bottom w:val="nil"/>
          <w:right w:val="nil"/>
          <w:between w:val="nil"/>
        </w:pBdr>
        <w:spacing w:after="0"/>
        <w:rPr>
          <w:b/>
        </w:rPr>
      </w:pPr>
    </w:p>
    <w:tbl>
      <w:tblPr>
        <w:tblStyle w:val="a2"/>
        <w:tblW w:w="14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755"/>
        <w:gridCol w:w="2693"/>
        <w:gridCol w:w="3686"/>
      </w:tblGrid>
      <w:tr w:rsidR="004631F4">
        <w:tc>
          <w:tcPr>
            <w:tcW w:w="14134"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1F4" w:rsidRDefault="00DC1890">
            <w:pPr>
              <w:widowControl w:val="0"/>
              <w:jc w:val="center"/>
              <w:rPr>
                <w:b/>
              </w:rPr>
            </w:pPr>
            <w:r>
              <w:rPr>
                <w:b/>
              </w:rPr>
              <w:t>(16) Outcomes of Equality Impact Assessment</w:t>
            </w:r>
          </w:p>
        </w:tc>
      </w:tr>
      <w:tr w:rsidR="004631F4">
        <w:tc>
          <w:tcPr>
            <w:tcW w:w="77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31F4" w:rsidRDefault="00DC1890">
            <w:pPr>
              <w:widowControl w:val="0"/>
              <w:jc w:val="center"/>
              <w:rPr>
                <w:b/>
              </w:rPr>
            </w:pPr>
            <w:r>
              <w:rPr>
                <w:b/>
              </w:rPr>
              <w:t>Action</w:t>
            </w:r>
          </w:p>
        </w:tc>
        <w:tc>
          <w:tcPr>
            <w:tcW w:w="26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631F4" w:rsidRDefault="00DC1890">
            <w:pPr>
              <w:widowControl w:val="0"/>
              <w:jc w:val="center"/>
              <w:rPr>
                <w:b/>
              </w:rPr>
            </w:pPr>
            <w:r>
              <w:rPr>
                <w:b/>
              </w:rPr>
              <w:t>Timescale</w:t>
            </w:r>
          </w:p>
        </w:tc>
        <w:tc>
          <w:tcPr>
            <w:tcW w:w="36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631F4" w:rsidRDefault="00DC1890">
            <w:pPr>
              <w:widowControl w:val="0"/>
              <w:jc w:val="center"/>
              <w:rPr>
                <w:b/>
              </w:rPr>
            </w:pPr>
            <w:r>
              <w:rPr>
                <w:b/>
              </w:rPr>
              <w:t>Responsibility</w:t>
            </w:r>
          </w:p>
        </w:tc>
      </w:tr>
      <w:tr w:rsidR="004631F4">
        <w:tc>
          <w:tcPr>
            <w:tcW w:w="77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31F4" w:rsidRDefault="00DC1890">
            <w:pPr>
              <w:widowControl w:val="0"/>
              <w:rPr>
                <w:b/>
              </w:rPr>
            </w:pPr>
            <w:r>
              <w:rPr>
                <w:b/>
              </w:rPr>
              <w:t xml:space="preserve"> Complete public consultation including meetings with vulnerable residents  </w:t>
            </w:r>
          </w:p>
        </w:tc>
        <w:tc>
          <w:tcPr>
            <w:tcW w:w="26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631F4" w:rsidRDefault="00DC1890">
            <w:pPr>
              <w:widowControl w:val="0"/>
              <w:rPr>
                <w:b/>
              </w:rPr>
            </w:pPr>
            <w:r>
              <w:rPr>
                <w:b/>
              </w:rPr>
              <w:t xml:space="preserve"> Mid September 2019</w:t>
            </w:r>
          </w:p>
        </w:tc>
        <w:tc>
          <w:tcPr>
            <w:tcW w:w="36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631F4" w:rsidRDefault="00DC1890">
            <w:pPr>
              <w:widowControl w:val="0"/>
              <w:rPr>
                <w:b/>
              </w:rPr>
            </w:pPr>
            <w:r>
              <w:rPr>
                <w:b/>
              </w:rPr>
              <w:t>David Ayton-Hill</w:t>
            </w:r>
          </w:p>
          <w:p w:rsidR="004631F4" w:rsidRDefault="00DC1890">
            <w:pPr>
              <w:widowControl w:val="0"/>
              <w:rPr>
                <w:b/>
              </w:rPr>
            </w:pPr>
            <w:r>
              <w:rPr>
                <w:b/>
              </w:rPr>
              <w:t>Glenn Robinson</w:t>
            </w:r>
          </w:p>
        </w:tc>
      </w:tr>
      <w:tr w:rsidR="004631F4">
        <w:tc>
          <w:tcPr>
            <w:tcW w:w="77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31F4" w:rsidRDefault="00DC1890">
            <w:pPr>
              <w:widowControl w:val="0"/>
              <w:rPr>
                <w:b/>
              </w:rPr>
            </w:pPr>
            <w:r>
              <w:rPr>
                <w:b/>
              </w:rPr>
              <w:t xml:space="preserve"> Analyse feedback from public consultation and amend strategy to include any new priorities or actions needed e.g. for vulnerable or other specific groups of residents</w:t>
            </w:r>
          </w:p>
        </w:tc>
        <w:tc>
          <w:tcPr>
            <w:tcW w:w="26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631F4" w:rsidRDefault="00DC1890">
            <w:pPr>
              <w:widowControl w:val="0"/>
              <w:rPr>
                <w:b/>
              </w:rPr>
            </w:pPr>
            <w:r>
              <w:rPr>
                <w:b/>
              </w:rPr>
              <w:t xml:space="preserve"> End September</w:t>
            </w:r>
          </w:p>
        </w:tc>
        <w:tc>
          <w:tcPr>
            <w:tcW w:w="36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631F4" w:rsidRDefault="00DC1890">
            <w:pPr>
              <w:widowControl w:val="0"/>
              <w:rPr>
                <w:b/>
              </w:rPr>
            </w:pPr>
            <w:r>
              <w:rPr>
                <w:b/>
              </w:rPr>
              <w:t>David Ayton-Hill</w:t>
            </w:r>
          </w:p>
          <w:p w:rsidR="004631F4" w:rsidRDefault="00DC1890">
            <w:pPr>
              <w:widowControl w:val="0"/>
              <w:rPr>
                <w:b/>
              </w:rPr>
            </w:pPr>
            <w:r>
              <w:rPr>
                <w:b/>
              </w:rPr>
              <w:t>Glenn Robinson</w:t>
            </w:r>
          </w:p>
          <w:p w:rsidR="004631F4" w:rsidRDefault="00DC1890">
            <w:pPr>
              <w:widowControl w:val="0"/>
              <w:rPr>
                <w:b/>
              </w:rPr>
            </w:pPr>
            <w:r>
              <w:rPr>
                <w:b/>
              </w:rPr>
              <w:t>(with advice and input from Employability &amp; Skills Board meeting in September)</w:t>
            </w:r>
          </w:p>
        </w:tc>
      </w:tr>
      <w:tr w:rsidR="004631F4">
        <w:tc>
          <w:tcPr>
            <w:tcW w:w="77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31F4" w:rsidRDefault="00DC1890">
            <w:pPr>
              <w:widowControl w:val="0"/>
              <w:rPr>
                <w:b/>
              </w:rPr>
            </w:pPr>
            <w:r>
              <w:rPr>
                <w:b/>
              </w:rPr>
              <w:t xml:space="preserve"> Monitor implementation of strategy</w:t>
            </w:r>
          </w:p>
        </w:tc>
        <w:tc>
          <w:tcPr>
            <w:tcW w:w="26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631F4" w:rsidRDefault="00DC1890">
            <w:pPr>
              <w:widowControl w:val="0"/>
              <w:rPr>
                <w:b/>
              </w:rPr>
            </w:pPr>
            <w:r>
              <w:rPr>
                <w:b/>
              </w:rPr>
              <w:t xml:space="preserve"> September - June 2019</w:t>
            </w:r>
          </w:p>
        </w:tc>
        <w:tc>
          <w:tcPr>
            <w:tcW w:w="36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631F4" w:rsidRDefault="00DC1890">
            <w:pPr>
              <w:widowControl w:val="0"/>
              <w:rPr>
                <w:b/>
              </w:rPr>
            </w:pPr>
            <w:r>
              <w:rPr>
                <w:b/>
              </w:rPr>
              <w:t>David Ayton-Hill</w:t>
            </w:r>
          </w:p>
          <w:p w:rsidR="004631F4" w:rsidRDefault="00DC1890">
            <w:pPr>
              <w:widowControl w:val="0"/>
              <w:rPr>
                <w:b/>
              </w:rPr>
            </w:pPr>
            <w:r>
              <w:rPr>
                <w:b/>
              </w:rPr>
              <w:t>Glenn Robinson</w:t>
            </w:r>
          </w:p>
          <w:p w:rsidR="004631F4" w:rsidRDefault="00DC1890">
            <w:pPr>
              <w:widowControl w:val="0"/>
              <w:rPr>
                <w:b/>
              </w:rPr>
            </w:pPr>
            <w:r>
              <w:rPr>
                <w:b/>
              </w:rPr>
              <w:t>(with advice and input from Employability &amp; Skills Board meeting in September)</w:t>
            </w:r>
          </w:p>
        </w:tc>
      </w:tr>
      <w:tr w:rsidR="004631F4">
        <w:tc>
          <w:tcPr>
            <w:tcW w:w="77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31F4" w:rsidRDefault="00DC1890">
            <w:pPr>
              <w:widowControl w:val="0"/>
              <w:rPr>
                <w:b/>
              </w:rPr>
            </w:pPr>
            <w:r>
              <w:rPr>
                <w:b/>
              </w:rPr>
              <w:t xml:space="preserve"> </w:t>
            </w:r>
          </w:p>
        </w:tc>
        <w:tc>
          <w:tcPr>
            <w:tcW w:w="26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631F4" w:rsidRDefault="00DC1890">
            <w:pPr>
              <w:widowControl w:val="0"/>
              <w:rPr>
                <w:b/>
              </w:rPr>
            </w:pPr>
            <w:r>
              <w:rPr>
                <w:b/>
              </w:rPr>
              <w:t xml:space="preserve"> </w:t>
            </w:r>
          </w:p>
        </w:tc>
        <w:tc>
          <w:tcPr>
            <w:tcW w:w="36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631F4" w:rsidRDefault="00DC1890">
            <w:pPr>
              <w:widowControl w:val="0"/>
              <w:rPr>
                <w:b/>
              </w:rPr>
            </w:pPr>
            <w:r>
              <w:rPr>
                <w:b/>
              </w:rPr>
              <w:t xml:space="preserve"> </w:t>
            </w:r>
          </w:p>
        </w:tc>
      </w:tr>
      <w:tr w:rsidR="004631F4">
        <w:tc>
          <w:tcPr>
            <w:tcW w:w="77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31F4" w:rsidRDefault="004631F4">
            <w:pPr>
              <w:widowControl w:val="0"/>
              <w:rPr>
                <w:b/>
              </w:rPr>
            </w:pPr>
          </w:p>
        </w:tc>
        <w:tc>
          <w:tcPr>
            <w:tcW w:w="269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631F4" w:rsidRDefault="004631F4">
            <w:pPr>
              <w:widowControl w:val="0"/>
              <w:rPr>
                <w:b/>
              </w:rPr>
            </w:pPr>
          </w:p>
        </w:tc>
        <w:tc>
          <w:tcPr>
            <w:tcW w:w="368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631F4" w:rsidRDefault="004631F4">
            <w:pPr>
              <w:widowControl w:val="0"/>
              <w:rPr>
                <w:b/>
              </w:rPr>
            </w:pPr>
          </w:p>
        </w:tc>
      </w:tr>
      <w:tr w:rsidR="004631F4">
        <w:tc>
          <w:tcPr>
            <w:tcW w:w="77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31F4" w:rsidRDefault="004631F4">
            <w:pPr>
              <w:widowControl w:val="0"/>
              <w:rPr>
                <w:b/>
              </w:rPr>
            </w:pPr>
          </w:p>
        </w:tc>
        <w:tc>
          <w:tcPr>
            <w:tcW w:w="269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631F4" w:rsidRDefault="004631F4">
            <w:pPr>
              <w:widowControl w:val="0"/>
              <w:rPr>
                <w:b/>
              </w:rPr>
            </w:pPr>
          </w:p>
        </w:tc>
        <w:tc>
          <w:tcPr>
            <w:tcW w:w="368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631F4" w:rsidRDefault="004631F4">
            <w:pPr>
              <w:widowControl w:val="0"/>
              <w:rPr>
                <w:b/>
              </w:rPr>
            </w:pPr>
          </w:p>
        </w:tc>
      </w:tr>
    </w:tbl>
    <w:p w:rsidR="004631F4" w:rsidRDefault="004631F4">
      <w:pPr>
        <w:widowControl w:val="0"/>
        <w:pBdr>
          <w:top w:val="nil"/>
          <w:left w:val="nil"/>
          <w:bottom w:val="nil"/>
          <w:right w:val="nil"/>
          <w:between w:val="nil"/>
        </w:pBdr>
        <w:spacing w:after="0"/>
        <w:rPr>
          <w:b/>
        </w:rPr>
        <w:sectPr w:rsidR="004631F4">
          <w:headerReference w:type="even" r:id="rId9"/>
          <w:headerReference w:type="default" r:id="rId10"/>
          <w:footerReference w:type="even" r:id="rId11"/>
          <w:footerReference w:type="default" r:id="rId12"/>
          <w:headerReference w:type="first" r:id="rId13"/>
          <w:footerReference w:type="first" r:id="rId14"/>
          <w:pgSz w:w="16838" w:h="11906"/>
          <w:pgMar w:top="1440" w:right="1440" w:bottom="1440" w:left="1440" w:header="566" w:footer="566" w:gutter="0"/>
          <w:pgNumType w:start="1"/>
          <w:cols w:space="720"/>
        </w:sectPr>
      </w:pPr>
    </w:p>
    <w:p w:rsidR="004631F4" w:rsidRDefault="004631F4">
      <w:pPr>
        <w:widowControl w:val="0"/>
        <w:pBdr>
          <w:top w:val="nil"/>
          <w:left w:val="nil"/>
          <w:bottom w:val="nil"/>
          <w:right w:val="nil"/>
          <w:between w:val="nil"/>
        </w:pBdr>
        <w:spacing w:after="0"/>
        <w:rPr>
          <w:b/>
        </w:rPr>
      </w:pPr>
    </w:p>
    <w:tbl>
      <w:tblPr>
        <w:tblStyle w:val="a3"/>
        <w:tblW w:w="10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17"/>
        <w:gridCol w:w="7348"/>
      </w:tblGrid>
      <w:tr w:rsidR="004631F4">
        <w:tc>
          <w:tcPr>
            <w:tcW w:w="2817" w:type="dxa"/>
            <w:shd w:val="clear" w:color="auto" w:fill="auto"/>
            <w:tcMar>
              <w:top w:w="100" w:type="dxa"/>
              <w:left w:w="100" w:type="dxa"/>
              <w:bottom w:w="100" w:type="dxa"/>
              <w:right w:w="100" w:type="dxa"/>
            </w:tcMar>
          </w:tcPr>
          <w:p w:rsidR="004631F4" w:rsidRDefault="00DC1890">
            <w:pPr>
              <w:widowControl w:val="0"/>
              <w:pBdr>
                <w:top w:val="nil"/>
                <w:left w:val="nil"/>
                <w:bottom w:val="nil"/>
                <w:right w:val="nil"/>
                <w:between w:val="nil"/>
              </w:pBdr>
              <w:rPr>
                <w:b/>
              </w:rPr>
            </w:pPr>
            <w:r>
              <w:rPr>
                <w:b/>
              </w:rPr>
              <w:t>Date of Next Review</w:t>
            </w:r>
          </w:p>
        </w:tc>
        <w:tc>
          <w:tcPr>
            <w:tcW w:w="7348" w:type="dxa"/>
            <w:shd w:val="clear" w:color="auto" w:fill="auto"/>
            <w:tcMar>
              <w:top w:w="100" w:type="dxa"/>
              <w:left w:w="100" w:type="dxa"/>
              <w:bottom w:w="100" w:type="dxa"/>
              <w:right w:w="100" w:type="dxa"/>
            </w:tcMar>
          </w:tcPr>
          <w:p w:rsidR="004631F4" w:rsidRDefault="00DC1890">
            <w:pPr>
              <w:widowControl w:val="0"/>
              <w:pBdr>
                <w:top w:val="nil"/>
                <w:left w:val="nil"/>
                <w:bottom w:val="nil"/>
                <w:right w:val="nil"/>
                <w:between w:val="nil"/>
              </w:pBdr>
              <w:rPr>
                <w:b/>
              </w:rPr>
            </w:pPr>
            <w:r>
              <w:rPr>
                <w:b/>
              </w:rPr>
              <w:t>Once the consultation responses have been reviewed</w:t>
            </w:r>
          </w:p>
        </w:tc>
      </w:tr>
    </w:tbl>
    <w:p w:rsidR="004631F4" w:rsidRDefault="004631F4">
      <w:pPr>
        <w:tabs>
          <w:tab w:val="left" w:pos="1055"/>
        </w:tabs>
        <w:rPr>
          <w:b/>
        </w:rPr>
      </w:pPr>
    </w:p>
    <w:tbl>
      <w:tblPr>
        <w:tblStyle w:val="a4"/>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5136"/>
      </w:tblGrid>
      <w:tr w:rsidR="004631F4">
        <w:trPr>
          <w:trHeight w:val="1180"/>
        </w:trPr>
        <w:tc>
          <w:tcPr>
            <w:tcW w:w="5070" w:type="dxa"/>
          </w:tcPr>
          <w:p w:rsidR="004631F4" w:rsidRDefault="00DC1890">
            <w:pPr>
              <w:spacing w:after="200" w:line="276" w:lineRule="auto"/>
              <w:rPr>
                <w:b/>
              </w:rPr>
            </w:pPr>
            <w:r>
              <w:rPr>
                <w:b/>
              </w:rPr>
              <w:t>Name and signature of Officer completing the EIA</w:t>
            </w:r>
          </w:p>
        </w:tc>
        <w:tc>
          <w:tcPr>
            <w:tcW w:w="5136" w:type="dxa"/>
          </w:tcPr>
          <w:p w:rsidR="004631F4" w:rsidRDefault="00DC1890">
            <w:pPr>
              <w:spacing w:after="200" w:line="276" w:lineRule="auto"/>
              <w:rPr>
                <w:b/>
              </w:rPr>
            </w:pPr>
            <w:r>
              <w:rPr>
                <w:b/>
                <w:noProof/>
              </w:rPr>
              <w:drawing>
                <wp:inline distT="114300" distB="114300" distL="114300" distR="114300">
                  <wp:extent cx="2466975" cy="7905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2466975" cy="790575"/>
                          </a:xfrm>
                          <a:prstGeom prst="rect">
                            <a:avLst/>
                          </a:prstGeom>
                          <a:ln/>
                        </pic:spPr>
                      </pic:pic>
                    </a:graphicData>
                  </a:graphic>
                </wp:inline>
              </w:drawing>
            </w:r>
          </w:p>
        </w:tc>
      </w:tr>
      <w:tr w:rsidR="004631F4">
        <w:trPr>
          <w:trHeight w:val="620"/>
        </w:trPr>
        <w:tc>
          <w:tcPr>
            <w:tcW w:w="5070" w:type="dxa"/>
          </w:tcPr>
          <w:p w:rsidR="004631F4" w:rsidRDefault="00DC1890">
            <w:pPr>
              <w:spacing w:after="200" w:line="276" w:lineRule="auto"/>
              <w:rPr>
                <w:b/>
              </w:rPr>
            </w:pPr>
            <w:r>
              <w:rPr>
                <w:b/>
              </w:rPr>
              <w:t>Name and signature of Assistant Director</w:t>
            </w:r>
          </w:p>
        </w:tc>
        <w:tc>
          <w:tcPr>
            <w:tcW w:w="5136" w:type="dxa"/>
          </w:tcPr>
          <w:p w:rsidR="004631F4" w:rsidRDefault="003D2D4C" w:rsidP="003D2D4C">
            <w:pPr>
              <w:spacing w:line="276" w:lineRule="auto"/>
              <w:rPr>
                <w:b/>
              </w:rPr>
            </w:pPr>
            <w:r>
              <w:rPr>
                <w:b/>
                <w:noProof/>
              </w:rPr>
              <w:drawing>
                <wp:inline distT="0" distB="0" distL="0" distR="0" wp14:anchorId="5FD50139" wp14:editId="099CE31F">
                  <wp:extent cx="1996642" cy="926128"/>
                  <wp:effectExtent l="0" t="0" r="3810" b="7620"/>
                  <wp:docPr id="3" name="Picture 3" descr="H:\ExecutiveTeam\Stuart Jackson\Letters\Signature 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xecutiveTeam\Stuart Jackson\Letters\Signature Captur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4381" cy="929718"/>
                          </a:xfrm>
                          <a:prstGeom prst="rect">
                            <a:avLst/>
                          </a:prstGeom>
                          <a:noFill/>
                          <a:ln>
                            <a:noFill/>
                          </a:ln>
                        </pic:spPr>
                      </pic:pic>
                    </a:graphicData>
                  </a:graphic>
                </wp:inline>
              </w:drawing>
            </w:r>
          </w:p>
        </w:tc>
      </w:tr>
      <w:tr w:rsidR="004631F4">
        <w:trPr>
          <w:trHeight w:val="620"/>
        </w:trPr>
        <w:tc>
          <w:tcPr>
            <w:tcW w:w="5070" w:type="dxa"/>
          </w:tcPr>
          <w:p w:rsidR="004631F4" w:rsidRDefault="00DC1890">
            <w:pPr>
              <w:spacing w:after="200" w:line="276" w:lineRule="auto"/>
              <w:rPr>
                <w:b/>
              </w:rPr>
            </w:pPr>
            <w:r>
              <w:rPr>
                <w:b/>
              </w:rPr>
              <w:t>Name and signature of Directorate Equalities Champion</w:t>
            </w:r>
          </w:p>
        </w:tc>
        <w:tc>
          <w:tcPr>
            <w:tcW w:w="5136" w:type="dxa"/>
          </w:tcPr>
          <w:p w:rsidR="004631F4" w:rsidRDefault="00345620">
            <w:pPr>
              <w:spacing w:after="200" w:line="276" w:lineRule="auto"/>
              <w:rPr>
                <w:b/>
              </w:rPr>
            </w:pPr>
            <w:r>
              <w:rPr>
                <w:b/>
              </w:rPr>
              <w:t>Barnaby Briggs (via email)</w:t>
            </w:r>
          </w:p>
        </w:tc>
      </w:tr>
    </w:tbl>
    <w:p w:rsidR="004631F4" w:rsidRDefault="004631F4">
      <w:pPr>
        <w:rPr>
          <w:b/>
        </w:rPr>
      </w:pPr>
    </w:p>
    <w:p w:rsidR="004631F4" w:rsidRDefault="00DC1890">
      <w:pPr>
        <w:jc w:val="center"/>
        <w:rPr>
          <w:b/>
          <w:i/>
        </w:rPr>
      </w:pPr>
      <w:r>
        <w:rPr>
          <w:b/>
          <w:i/>
        </w:rPr>
        <w:t xml:space="preserve">If you would like any equalities support or advice on this completed document, please contact the Equalities Team on 01926 412370 or </w:t>
      </w:r>
      <w:hyperlink r:id="rId17">
        <w:r>
          <w:rPr>
            <w:b/>
            <w:i/>
            <w:color w:val="0000FF"/>
            <w:u w:val="single"/>
          </w:rPr>
          <w:t>equalities@warwickshire.gov.uk</w:t>
        </w:r>
      </w:hyperlink>
    </w:p>
    <w:p w:rsidR="004631F4" w:rsidRDefault="004631F4">
      <w:pPr>
        <w:spacing w:after="0" w:line="240" w:lineRule="auto"/>
        <w:jc w:val="center"/>
        <w:rPr>
          <w:b/>
          <w:i/>
        </w:rPr>
      </w:pPr>
    </w:p>
    <w:p w:rsidR="004631F4" w:rsidRDefault="004631F4">
      <w:pPr>
        <w:spacing w:after="0" w:line="240" w:lineRule="auto"/>
        <w:jc w:val="center"/>
        <w:rPr>
          <w:b/>
          <w:i/>
        </w:rPr>
      </w:pPr>
    </w:p>
    <w:p w:rsidR="004631F4" w:rsidRDefault="004631F4">
      <w:pPr>
        <w:spacing w:after="0" w:line="240" w:lineRule="auto"/>
        <w:jc w:val="center"/>
        <w:rPr>
          <w:b/>
          <w:i/>
        </w:rPr>
      </w:pPr>
    </w:p>
    <w:p w:rsidR="004631F4" w:rsidRDefault="004631F4">
      <w:pPr>
        <w:spacing w:after="0" w:line="240" w:lineRule="auto"/>
        <w:jc w:val="center"/>
        <w:rPr>
          <w:b/>
          <w:i/>
        </w:rPr>
      </w:pPr>
    </w:p>
    <w:p w:rsidR="004631F4" w:rsidRDefault="004631F4">
      <w:pPr>
        <w:spacing w:after="0" w:line="240" w:lineRule="auto"/>
        <w:jc w:val="center"/>
        <w:rPr>
          <w:b/>
          <w:i/>
        </w:rPr>
      </w:pPr>
    </w:p>
    <w:p w:rsidR="004631F4" w:rsidRDefault="00DC1890">
      <w:pPr>
        <w:spacing w:after="0" w:line="240" w:lineRule="auto"/>
        <w:jc w:val="center"/>
        <w:rPr>
          <w:b/>
          <w:i/>
          <w:sz w:val="28"/>
          <w:szCs w:val="28"/>
        </w:rPr>
      </w:pPr>
      <w:bookmarkStart w:id="1" w:name="_gjdgxs" w:colFirst="0" w:colLast="0"/>
      <w:bookmarkEnd w:id="1"/>
      <w:r>
        <w:rPr>
          <w:b/>
          <w:i/>
          <w:sz w:val="28"/>
          <w:szCs w:val="28"/>
        </w:rPr>
        <w:t>NEXT STEPS ONCE COMPLETED:</w:t>
      </w:r>
    </w:p>
    <w:p w:rsidR="004631F4" w:rsidRDefault="004631F4">
      <w:pPr>
        <w:spacing w:after="0" w:line="240" w:lineRule="auto"/>
        <w:jc w:val="center"/>
        <w:rPr>
          <w:b/>
          <w:i/>
          <w:sz w:val="28"/>
          <w:szCs w:val="28"/>
        </w:rPr>
      </w:pPr>
      <w:bookmarkStart w:id="2" w:name="_gbgkngqzo14d" w:colFirst="0" w:colLast="0"/>
      <w:bookmarkEnd w:id="2"/>
    </w:p>
    <w:p w:rsidR="004631F4" w:rsidRDefault="00DC1890">
      <w:pPr>
        <w:numPr>
          <w:ilvl w:val="0"/>
          <w:numId w:val="1"/>
        </w:numPr>
        <w:spacing w:after="0" w:line="240" w:lineRule="auto"/>
        <w:jc w:val="center"/>
        <w:rPr>
          <w:b/>
          <w:i/>
          <w:sz w:val="28"/>
          <w:szCs w:val="28"/>
        </w:rPr>
      </w:pPr>
      <w:bookmarkStart w:id="3" w:name="_wngn15mxf8x2" w:colFirst="0" w:colLast="0"/>
      <w:bookmarkEnd w:id="3"/>
      <w:r>
        <w:rPr>
          <w:b/>
          <w:i/>
          <w:sz w:val="28"/>
          <w:szCs w:val="28"/>
        </w:rPr>
        <w:t>Go to File – Rename, and enter a new document name (e.g. Title of the EIA followed by - EIA)</w:t>
      </w:r>
    </w:p>
    <w:p w:rsidR="004631F4" w:rsidRDefault="00DC1890">
      <w:pPr>
        <w:spacing w:after="0" w:line="240" w:lineRule="auto"/>
        <w:ind w:left="720"/>
        <w:jc w:val="center"/>
        <w:rPr>
          <w:b/>
          <w:i/>
          <w:sz w:val="28"/>
          <w:szCs w:val="28"/>
        </w:rPr>
      </w:pPr>
      <w:bookmarkStart w:id="4" w:name="_rpwbndxagz9f" w:colFirst="0" w:colLast="0"/>
      <w:bookmarkEnd w:id="4"/>
      <w:r>
        <w:rPr>
          <w:b/>
          <w:i/>
          <w:sz w:val="28"/>
          <w:szCs w:val="28"/>
        </w:rPr>
        <w:br/>
        <w:t>2. Go to Share (top right hand corner) Add Assistant Director and the Directorate Equalities Champion with ‘can edit’ option to gain their signatures and for recording purposes</w:t>
      </w:r>
    </w:p>
    <w:p w:rsidR="004631F4" w:rsidRDefault="004631F4">
      <w:pPr>
        <w:spacing w:after="0" w:line="240" w:lineRule="auto"/>
        <w:ind w:left="720"/>
        <w:jc w:val="center"/>
        <w:rPr>
          <w:b/>
          <w:i/>
          <w:sz w:val="28"/>
          <w:szCs w:val="28"/>
        </w:rPr>
      </w:pPr>
      <w:bookmarkStart w:id="5" w:name="_c11u0w8c9mdg" w:colFirst="0" w:colLast="0"/>
      <w:bookmarkEnd w:id="5"/>
    </w:p>
    <w:p w:rsidR="004631F4" w:rsidRDefault="00DC1890">
      <w:pPr>
        <w:spacing w:after="0" w:line="240" w:lineRule="auto"/>
        <w:ind w:left="720"/>
        <w:jc w:val="center"/>
        <w:rPr>
          <w:b/>
          <w:i/>
          <w:sz w:val="28"/>
          <w:szCs w:val="28"/>
        </w:rPr>
      </w:pPr>
      <w:bookmarkStart w:id="6" w:name="_8kl4vn92hpl8" w:colFirst="0" w:colLast="0"/>
      <w:bookmarkEnd w:id="6"/>
      <w:r>
        <w:rPr>
          <w:b/>
          <w:i/>
          <w:sz w:val="28"/>
          <w:szCs w:val="28"/>
        </w:rPr>
        <w:t>3. Once signed off, ensure the completed EIA is saved in a secure place</w:t>
      </w:r>
    </w:p>
    <w:sectPr w:rsidR="004631F4">
      <w:type w:val="continuous"/>
      <w:pgSz w:w="16838" w:h="11906"/>
      <w:pgMar w:top="1440" w:right="1440" w:bottom="1440" w:left="1440" w:header="566"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1DD" w:rsidRDefault="006201DD">
      <w:pPr>
        <w:spacing w:after="0" w:line="240" w:lineRule="auto"/>
      </w:pPr>
      <w:r>
        <w:separator/>
      </w:r>
    </w:p>
  </w:endnote>
  <w:endnote w:type="continuationSeparator" w:id="0">
    <w:p w:rsidR="006201DD" w:rsidRDefault="00620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1F4" w:rsidRDefault="004631F4">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1F4" w:rsidRDefault="00DC1890">
    <w:pPr>
      <w:pBdr>
        <w:top w:val="nil"/>
        <w:left w:val="nil"/>
        <w:bottom w:val="nil"/>
        <w:right w:val="nil"/>
        <w:between w:val="nil"/>
      </w:pBdr>
      <w:tabs>
        <w:tab w:val="left" w:pos="6695"/>
      </w:tabs>
      <w:spacing w:after="0" w:line="240" w:lineRule="auto"/>
      <w:rPr>
        <w:color w:val="000000"/>
      </w:rPr>
    </w:pPr>
    <w:r>
      <w:rPr>
        <w:color w:val="000000"/>
      </w:rPr>
      <w:tab/>
      <w:t xml:space="preserve">Page </w:t>
    </w:r>
    <w:r>
      <w:rPr>
        <w:b/>
        <w:color w:val="000000"/>
      </w:rPr>
      <w:fldChar w:fldCharType="begin"/>
    </w:r>
    <w:r>
      <w:rPr>
        <w:b/>
        <w:color w:val="000000"/>
      </w:rPr>
      <w:instrText>PAGE</w:instrText>
    </w:r>
    <w:r>
      <w:rPr>
        <w:b/>
        <w:color w:val="000000"/>
      </w:rPr>
      <w:fldChar w:fldCharType="separate"/>
    </w:r>
    <w:r w:rsidR="00D6293E">
      <w:rPr>
        <w:b/>
        <w:noProof/>
        <w:color w:val="000000"/>
      </w:rPr>
      <w:t>2</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D6293E">
      <w:rPr>
        <w:b/>
        <w:noProof/>
        <w:color w:val="000000"/>
      </w:rPr>
      <w:t>7</w:t>
    </w:r>
    <w:r>
      <w:rPr>
        <w:b/>
        <w:color w:val="000000"/>
      </w:rPr>
      <w:fldChar w:fldCharType="end"/>
    </w:r>
    <w:r>
      <w:rPr>
        <w:color w:val="000000"/>
      </w:rPr>
      <w:tab/>
    </w:r>
    <w:r>
      <w:rPr>
        <w:noProof/>
      </w:rPr>
      <w:drawing>
        <wp:anchor distT="0" distB="0" distL="114300" distR="114300" simplePos="0" relativeHeight="251658240" behindDoc="0" locked="0" layoutInCell="1" hidden="0" allowOverlap="1">
          <wp:simplePos x="0" y="0"/>
          <wp:positionH relativeFrom="column">
            <wp:posOffset>-387346</wp:posOffset>
          </wp:positionH>
          <wp:positionV relativeFrom="paragraph">
            <wp:posOffset>-166367</wp:posOffset>
          </wp:positionV>
          <wp:extent cx="1311275" cy="62484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11275" cy="624840"/>
                  </a:xfrm>
                  <a:prstGeom prst="rect">
                    <a:avLst/>
                  </a:prstGeom>
                  <a:ln/>
                </pic:spPr>
              </pic:pic>
            </a:graphicData>
          </a:graphic>
        </wp:anchor>
      </w:drawing>
    </w:r>
  </w:p>
  <w:p w:rsidR="004631F4" w:rsidRDefault="004631F4">
    <w:pPr>
      <w:pBdr>
        <w:top w:val="nil"/>
        <w:left w:val="nil"/>
        <w:bottom w:val="nil"/>
        <w:right w:val="nil"/>
        <w:between w:val="nil"/>
      </w:pBdr>
      <w:tabs>
        <w:tab w:val="left" w:pos="2057"/>
      </w:tabs>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1F4" w:rsidRDefault="004631F4">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1DD" w:rsidRDefault="006201DD">
      <w:pPr>
        <w:spacing w:after="0" w:line="240" w:lineRule="auto"/>
      </w:pPr>
      <w:r>
        <w:separator/>
      </w:r>
    </w:p>
  </w:footnote>
  <w:footnote w:type="continuationSeparator" w:id="0">
    <w:p w:rsidR="006201DD" w:rsidRDefault="006201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1F4" w:rsidRDefault="004631F4">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1F4" w:rsidRDefault="004631F4">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1F4" w:rsidRDefault="004631F4">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A647B"/>
    <w:multiLevelType w:val="multilevel"/>
    <w:tmpl w:val="3AEA8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D930126"/>
    <w:multiLevelType w:val="multilevel"/>
    <w:tmpl w:val="85A20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2B97792"/>
    <w:multiLevelType w:val="multilevel"/>
    <w:tmpl w:val="EC74BF50"/>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B0E1EF0"/>
    <w:multiLevelType w:val="multilevel"/>
    <w:tmpl w:val="2A0C99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F6C2605"/>
    <w:multiLevelType w:val="multilevel"/>
    <w:tmpl w:val="77CC4C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D58124D"/>
    <w:multiLevelType w:val="multilevel"/>
    <w:tmpl w:val="7F6829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7D98747E"/>
    <w:multiLevelType w:val="multilevel"/>
    <w:tmpl w:val="87AA1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4"/>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631F4"/>
    <w:rsid w:val="002907E1"/>
    <w:rsid w:val="00344050"/>
    <w:rsid w:val="00345620"/>
    <w:rsid w:val="003D2D4C"/>
    <w:rsid w:val="004631F4"/>
    <w:rsid w:val="00515591"/>
    <w:rsid w:val="006201DD"/>
    <w:rsid w:val="007C61B4"/>
    <w:rsid w:val="0091011F"/>
    <w:rsid w:val="00A32B82"/>
    <w:rsid w:val="00D6293E"/>
    <w:rsid w:val="00DC1890"/>
    <w:rsid w:val="00F53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after="0" w:line="240" w:lineRule="auto"/>
      <w:outlineLvl w:val="2"/>
    </w:pPr>
    <w:rPr>
      <w:b/>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D2D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D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after="0" w:line="240" w:lineRule="auto"/>
      <w:outlineLvl w:val="2"/>
    </w:pPr>
    <w:rPr>
      <w:b/>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D2D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D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i.warwickshire.gov.uk/content/consultations-overview/consultations-overview" TargetMode="External"/><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equalities@warwickshire.gov.uk" TargetMode="Externa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1694</Words>
  <Characters>9659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11331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Ayton-Hill</dc:creator>
  <cp:lastModifiedBy>Lucy Rumble</cp:lastModifiedBy>
  <cp:revision>2</cp:revision>
  <dcterms:created xsi:type="dcterms:W3CDTF">2019-06-18T13:47:00Z</dcterms:created>
  <dcterms:modified xsi:type="dcterms:W3CDTF">2019-06-18T13:47:00Z</dcterms:modified>
</cp:coreProperties>
</file>