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3" w:rsidRDefault="00AA4E53" w:rsidP="00AA4E53">
      <w:pPr>
        <w:jc w:val="center"/>
        <w:rPr>
          <w:rFonts w:asciiTheme="minorHAnsi" w:hAnsiTheme="minorHAnsi"/>
          <w:b/>
          <w:color w:val="000000" w:themeColor="text1"/>
          <w:u w:val="single"/>
        </w:rPr>
      </w:pPr>
      <w:r>
        <w:rPr>
          <w:rFonts w:asciiTheme="minorHAnsi" w:hAnsiTheme="minorHAnsi"/>
          <w:b/>
          <w:color w:val="000000" w:themeColor="text1"/>
          <w:u w:val="single"/>
        </w:rPr>
        <w:t>Warwickshire Fire &amp; Rescue Service</w:t>
      </w:r>
      <w:r w:rsidR="00DF0C20">
        <w:rPr>
          <w:rFonts w:asciiTheme="minorHAnsi" w:hAnsiTheme="minorHAnsi"/>
          <w:b/>
          <w:color w:val="000000" w:themeColor="text1"/>
          <w:u w:val="single"/>
        </w:rPr>
        <w:t>(WFRS)</w:t>
      </w:r>
      <w:bookmarkStart w:id="0" w:name="_GoBack"/>
      <w:bookmarkEnd w:id="0"/>
    </w:p>
    <w:p w:rsidR="00584430" w:rsidRPr="003632C3" w:rsidRDefault="003632C3" w:rsidP="00AA4E53">
      <w:pPr>
        <w:jc w:val="center"/>
        <w:rPr>
          <w:rFonts w:asciiTheme="minorHAnsi" w:hAnsiTheme="minorHAnsi"/>
          <w:b/>
          <w:color w:val="000000" w:themeColor="text1"/>
          <w:u w:val="single"/>
        </w:rPr>
      </w:pPr>
      <w:r w:rsidRPr="003632C3">
        <w:rPr>
          <w:rFonts w:asciiTheme="minorHAnsi" w:hAnsiTheme="minorHAnsi"/>
          <w:b/>
          <w:color w:val="000000" w:themeColor="text1"/>
          <w:u w:val="single"/>
        </w:rPr>
        <w:t xml:space="preserve">Performance Standards </w:t>
      </w:r>
      <w:r w:rsidR="00AA4E53">
        <w:rPr>
          <w:rFonts w:asciiTheme="minorHAnsi" w:hAnsiTheme="minorHAnsi"/>
          <w:b/>
          <w:color w:val="000000" w:themeColor="text1"/>
          <w:u w:val="single"/>
        </w:rPr>
        <w:t>Explained</w:t>
      </w:r>
    </w:p>
    <w:p w:rsidR="00A127ED" w:rsidRPr="003632C3" w:rsidRDefault="00A127ED">
      <w:pPr>
        <w:rPr>
          <w:rFonts w:asciiTheme="minorHAnsi" w:hAnsiTheme="minorHAnsi"/>
          <w:b/>
          <w:color w:val="000000" w:themeColor="text1"/>
          <w:sz w:val="22"/>
          <w:szCs w:val="22"/>
          <w:u w:val="single"/>
        </w:rPr>
      </w:pPr>
    </w:p>
    <w:p w:rsidR="00501F8C" w:rsidRPr="003632C3" w:rsidRDefault="00501F8C">
      <w:pPr>
        <w:rPr>
          <w:rFonts w:asciiTheme="minorHAnsi" w:hAnsiTheme="minorHAnsi"/>
          <w:b/>
          <w:color w:val="000000" w:themeColor="text1"/>
          <w:sz w:val="22"/>
          <w:szCs w:val="22"/>
          <w:u w:val="single"/>
        </w:rPr>
      </w:pPr>
      <w:r w:rsidRPr="003632C3">
        <w:rPr>
          <w:rFonts w:asciiTheme="minorHAnsi" w:hAnsiTheme="minorHAnsi"/>
          <w:b/>
          <w:color w:val="000000" w:themeColor="text1"/>
          <w:sz w:val="22"/>
          <w:szCs w:val="22"/>
          <w:u w:val="single"/>
        </w:rPr>
        <w:t>WFRS Performance Standards</w:t>
      </w:r>
    </w:p>
    <w:p w:rsidR="00AA4E53" w:rsidRDefault="00501F8C" w:rsidP="00501F8C">
      <w:pPr>
        <w:spacing w:after="0" w:line="240" w:lineRule="auto"/>
        <w:rPr>
          <w:rFonts w:asciiTheme="minorHAnsi" w:hAnsiTheme="minorHAnsi" w:cstheme="minorHAnsi"/>
          <w:color w:val="000000" w:themeColor="text1"/>
          <w:sz w:val="22"/>
          <w:szCs w:val="22"/>
        </w:rPr>
      </w:pPr>
      <w:r w:rsidRPr="0092077F">
        <w:rPr>
          <w:rFonts w:asciiTheme="minorHAnsi" w:hAnsiTheme="minorHAnsi" w:cstheme="minorHAnsi"/>
          <w:color w:val="000000" w:themeColor="text1"/>
          <w:sz w:val="22"/>
          <w:szCs w:val="22"/>
        </w:rPr>
        <w:t xml:space="preserve">The Service has a set of Emergency Response Standards that it is measured against. </w:t>
      </w:r>
    </w:p>
    <w:p w:rsidR="00AA4E53" w:rsidRDefault="00AA4E53" w:rsidP="00501F8C">
      <w:pPr>
        <w:spacing w:after="0" w:line="240" w:lineRule="auto"/>
        <w:rPr>
          <w:rFonts w:asciiTheme="minorHAnsi" w:hAnsiTheme="minorHAnsi" w:cstheme="minorHAnsi"/>
          <w:color w:val="000000" w:themeColor="text1"/>
          <w:sz w:val="22"/>
          <w:szCs w:val="22"/>
        </w:rPr>
      </w:pPr>
    </w:p>
    <w:p w:rsidR="00DB6994" w:rsidRDefault="00501F8C" w:rsidP="00501F8C">
      <w:pPr>
        <w:spacing w:after="0" w:line="240" w:lineRule="auto"/>
        <w:rPr>
          <w:rFonts w:asciiTheme="minorHAnsi" w:hAnsiTheme="minorHAnsi" w:cstheme="minorHAnsi"/>
          <w:color w:val="000000" w:themeColor="text1"/>
          <w:sz w:val="22"/>
          <w:szCs w:val="22"/>
        </w:rPr>
      </w:pPr>
      <w:r w:rsidRPr="0092077F">
        <w:rPr>
          <w:rFonts w:asciiTheme="minorHAnsi" w:hAnsiTheme="minorHAnsi" w:cstheme="minorHAnsi"/>
          <w:color w:val="000000" w:themeColor="text1"/>
          <w:sz w:val="22"/>
          <w:szCs w:val="22"/>
        </w:rPr>
        <w:t xml:space="preserve">Prior to April 2015, the standard was to provide an appliance to an incident within ten minutes of receiving a call in an urban area, and within twenty minutes in a rural area. </w:t>
      </w:r>
      <w:r w:rsidR="00AA4E53">
        <w:rPr>
          <w:rFonts w:asciiTheme="minorHAnsi" w:hAnsiTheme="minorHAnsi" w:cstheme="minorHAnsi"/>
          <w:color w:val="000000" w:themeColor="text1"/>
          <w:sz w:val="22"/>
          <w:szCs w:val="22"/>
        </w:rPr>
        <w:t>A changing risk profile</w:t>
      </w:r>
      <w:r w:rsidRPr="0092077F">
        <w:rPr>
          <w:rFonts w:asciiTheme="minorHAnsi" w:hAnsiTheme="minorHAnsi" w:cstheme="minorHAnsi"/>
          <w:color w:val="000000" w:themeColor="text1"/>
          <w:sz w:val="22"/>
          <w:szCs w:val="22"/>
        </w:rPr>
        <w:t xml:space="preserve"> resulted in the adoption of </w:t>
      </w:r>
      <w:r w:rsidR="00AA4E53">
        <w:rPr>
          <w:rFonts w:asciiTheme="minorHAnsi" w:hAnsiTheme="minorHAnsi" w:cstheme="minorHAnsi"/>
          <w:color w:val="000000" w:themeColor="text1"/>
          <w:sz w:val="22"/>
          <w:szCs w:val="22"/>
        </w:rPr>
        <w:t xml:space="preserve">an overall performance standard </w:t>
      </w:r>
      <w:r w:rsidRPr="0092077F">
        <w:rPr>
          <w:rFonts w:asciiTheme="minorHAnsi" w:hAnsiTheme="minorHAnsi" w:cstheme="minorHAnsi"/>
          <w:color w:val="000000" w:themeColor="text1"/>
          <w:sz w:val="22"/>
          <w:szCs w:val="22"/>
        </w:rPr>
        <w:t xml:space="preserve">based on attendance to life risk incidents wherever they occur. These include Road Traffic Collisions (RTCs), which are as likely to occur on fast rural roads and motorways, as well as in urban areas. </w:t>
      </w:r>
    </w:p>
    <w:p w:rsidR="00DB6994" w:rsidRDefault="00DB6994" w:rsidP="00501F8C">
      <w:pPr>
        <w:spacing w:after="0" w:line="240" w:lineRule="auto"/>
        <w:rPr>
          <w:rFonts w:asciiTheme="minorHAnsi" w:hAnsiTheme="minorHAnsi" w:cstheme="minorHAnsi"/>
          <w:color w:val="000000" w:themeColor="text1"/>
          <w:sz w:val="22"/>
          <w:szCs w:val="22"/>
        </w:rPr>
      </w:pPr>
    </w:p>
    <w:p w:rsidR="00501F8C" w:rsidRPr="0092077F" w:rsidRDefault="00501F8C" w:rsidP="00501F8C">
      <w:pPr>
        <w:spacing w:after="0" w:line="240" w:lineRule="auto"/>
        <w:rPr>
          <w:rFonts w:asciiTheme="minorHAnsi" w:hAnsiTheme="minorHAnsi" w:cstheme="minorHAnsi"/>
          <w:color w:val="000000" w:themeColor="text1"/>
          <w:sz w:val="22"/>
          <w:szCs w:val="22"/>
        </w:rPr>
      </w:pPr>
      <w:r w:rsidRPr="0092077F">
        <w:rPr>
          <w:rFonts w:asciiTheme="minorHAnsi" w:hAnsiTheme="minorHAnsi" w:cstheme="minorHAnsi"/>
          <w:color w:val="000000" w:themeColor="text1"/>
          <w:sz w:val="22"/>
          <w:szCs w:val="22"/>
        </w:rPr>
        <w:t xml:space="preserve">Since April 2015, the performance standard is: </w:t>
      </w:r>
    </w:p>
    <w:p w:rsidR="00501F8C" w:rsidRPr="00E7048B" w:rsidRDefault="00501F8C" w:rsidP="00501F8C">
      <w:pPr>
        <w:pStyle w:val="Default"/>
        <w:rPr>
          <w:rFonts w:asciiTheme="minorHAnsi" w:hAnsiTheme="minorHAnsi" w:cstheme="minorHAnsi"/>
          <w:color w:val="000000" w:themeColor="text1"/>
          <w:sz w:val="22"/>
          <w:szCs w:val="22"/>
        </w:rPr>
      </w:pPr>
    </w:p>
    <w:p w:rsidR="00501F8C" w:rsidRPr="00E7048B" w:rsidRDefault="00501F8C" w:rsidP="00C374B6">
      <w:pPr>
        <w:pStyle w:val="Default"/>
        <w:numPr>
          <w:ilvl w:val="0"/>
          <w:numId w:val="3"/>
        </w:numPr>
        <w:rPr>
          <w:rFonts w:asciiTheme="minorHAnsi" w:hAnsiTheme="minorHAnsi" w:cstheme="minorHAnsi"/>
          <w:color w:val="000000" w:themeColor="text1"/>
          <w:sz w:val="22"/>
          <w:szCs w:val="22"/>
        </w:rPr>
      </w:pPr>
      <w:r w:rsidRPr="00E7048B">
        <w:rPr>
          <w:rFonts w:asciiTheme="minorHAnsi" w:hAnsiTheme="minorHAnsi" w:cstheme="minorHAnsi"/>
          <w:color w:val="000000" w:themeColor="text1"/>
          <w:sz w:val="22"/>
          <w:szCs w:val="22"/>
        </w:rPr>
        <w:t xml:space="preserve">The first fire engine will attend life risk emergencies (P1&amp;P2) across the County within 10 minutes on 75% of occasions. </w:t>
      </w:r>
    </w:p>
    <w:p w:rsidR="00501F8C" w:rsidRPr="00E7048B" w:rsidRDefault="00501F8C" w:rsidP="00A127ED">
      <w:pPr>
        <w:pStyle w:val="Default"/>
        <w:ind w:left="360"/>
        <w:rPr>
          <w:rFonts w:asciiTheme="minorHAnsi" w:hAnsiTheme="minorHAnsi" w:cstheme="minorHAnsi"/>
          <w:color w:val="000000" w:themeColor="text1"/>
          <w:sz w:val="22"/>
          <w:szCs w:val="22"/>
        </w:rPr>
      </w:pPr>
    </w:p>
    <w:p w:rsidR="00501F8C" w:rsidRPr="00A127ED" w:rsidRDefault="00501F8C" w:rsidP="00C374B6">
      <w:pPr>
        <w:pStyle w:val="ListParagraph"/>
        <w:numPr>
          <w:ilvl w:val="0"/>
          <w:numId w:val="3"/>
        </w:numPr>
      </w:pPr>
      <w:r w:rsidRPr="00C374B6">
        <w:rPr>
          <w:rFonts w:asciiTheme="minorHAnsi" w:hAnsiTheme="minorHAnsi" w:cstheme="minorHAnsi"/>
          <w:color w:val="000000" w:themeColor="text1"/>
          <w:sz w:val="22"/>
          <w:szCs w:val="22"/>
        </w:rPr>
        <w:t>The second fire engine will attend life risk emergencies across the County within 15 minutes on 90% of occasions.</w:t>
      </w:r>
    </w:p>
    <w:p w:rsidR="00A127ED" w:rsidRDefault="00A127ED" w:rsidP="00A127ED">
      <w:pPr>
        <w:pStyle w:val="ListParagraph"/>
      </w:pPr>
    </w:p>
    <w:p w:rsidR="003632C3" w:rsidRDefault="003632C3" w:rsidP="003632C3">
      <w:pPr>
        <w:pStyle w:val="NoSpacing"/>
        <w:rPr>
          <w:rFonts w:asciiTheme="minorHAnsi" w:hAnsiTheme="minorHAnsi" w:cstheme="minorHAnsi"/>
        </w:rPr>
      </w:pPr>
    </w:p>
    <w:p w:rsidR="00500F22" w:rsidRPr="00500F22" w:rsidRDefault="00500F22" w:rsidP="00500F22">
      <w:pPr>
        <w:rPr>
          <w:rFonts w:asciiTheme="minorHAnsi" w:hAnsiTheme="minorHAnsi"/>
          <w:b/>
          <w:color w:val="000000" w:themeColor="text1"/>
          <w:sz w:val="22"/>
          <w:szCs w:val="22"/>
          <w:u w:val="single"/>
        </w:rPr>
      </w:pPr>
      <w:r w:rsidRPr="00500F22">
        <w:rPr>
          <w:rFonts w:asciiTheme="minorHAnsi" w:hAnsiTheme="minorHAnsi"/>
          <w:b/>
          <w:color w:val="000000" w:themeColor="text1"/>
          <w:sz w:val="22"/>
          <w:szCs w:val="22"/>
          <w:u w:val="single"/>
        </w:rPr>
        <w:t>WFRS Incident Priorities</w:t>
      </w:r>
    </w:p>
    <w:p w:rsidR="00500F22" w:rsidRDefault="00500F22" w:rsidP="00500F22">
      <w:pPr>
        <w:spacing w:after="0" w:line="240" w:lineRule="auto"/>
        <w:rPr>
          <w:rFonts w:ascii="Calibri" w:hAnsi="Calibri" w:cs="Calibri"/>
          <w:color w:val="FF0000"/>
          <w:sz w:val="22"/>
          <w:szCs w:val="22"/>
        </w:rPr>
      </w:pPr>
    </w:p>
    <w:tbl>
      <w:tblPr>
        <w:tblpPr w:leftFromText="181" w:rightFromText="181" w:vertAnchor="text" w:horzAnchor="margin" w:tblpXSpec="center" w:tblpY="1"/>
        <w:tblW w:w="6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119"/>
      </w:tblGrid>
      <w:tr w:rsidR="00500F22" w:rsidRPr="006E1687" w:rsidTr="00500F22">
        <w:trPr>
          <w:trHeight w:val="315"/>
        </w:trPr>
        <w:tc>
          <w:tcPr>
            <w:tcW w:w="3470" w:type="dxa"/>
            <w:shd w:val="clear" w:color="auto" w:fill="DBE5F1" w:themeFill="accent1" w:themeFillTint="33"/>
            <w:vAlign w:val="center"/>
            <w:hideMark/>
          </w:tcPr>
          <w:p w:rsidR="00500F22" w:rsidRPr="00EF7762" w:rsidRDefault="00500F22" w:rsidP="00B4104B">
            <w:pPr>
              <w:spacing w:after="0" w:line="240" w:lineRule="auto"/>
              <w:jc w:val="center"/>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Priority Level</w:t>
            </w:r>
          </w:p>
          <w:p w:rsidR="00500F22" w:rsidRPr="00EF7762" w:rsidRDefault="00500F22" w:rsidP="00B4104B">
            <w:pPr>
              <w:spacing w:after="0" w:line="240" w:lineRule="auto"/>
              <w:jc w:val="cente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&amp;</w:t>
            </w:r>
          </w:p>
          <w:p w:rsidR="00500F22" w:rsidRPr="00EF7762" w:rsidRDefault="00500F22" w:rsidP="00B4104B">
            <w:pPr>
              <w:spacing w:after="0" w:line="240" w:lineRule="auto"/>
              <w:jc w:val="center"/>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Definition</w:t>
            </w:r>
          </w:p>
        </w:tc>
        <w:tc>
          <w:tcPr>
            <w:tcW w:w="3119" w:type="dxa"/>
            <w:shd w:val="clear" w:color="auto" w:fill="DBE5F1" w:themeFill="accent1" w:themeFillTint="33"/>
            <w:hideMark/>
          </w:tcPr>
          <w:p w:rsidR="00500F22" w:rsidRDefault="00500F22" w:rsidP="00B4104B">
            <w:pPr>
              <w:spacing w:after="0" w:line="240" w:lineRule="auto"/>
              <w:jc w:val="center"/>
              <w:rPr>
                <w:rFonts w:asciiTheme="minorHAnsi" w:eastAsia="Times New Roman" w:hAnsiTheme="minorHAnsi" w:cstheme="minorHAnsi"/>
                <w:color w:val="000000"/>
                <w:sz w:val="20"/>
                <w:szCs w:val="20"/>
                <w:lang w:eastAsia="en-GB"/>
              </w:rPr>
            </w:pPr>
          </w:p>
          <w:p w:rsidR="00500F22" w:rsidRPr="00EF7762" w:rsidRDefault="00500F22" w:rsidP="00B4104B">
            <w:pPr>
              <w:spacing w:after="0" w:line="240" w:lineRule="auto"/>
              <w:jc w:val="center"/>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Examples</w:t>
            </w:r>
          </w:p>
          <w:p w:rsidR="00500F22" w:rsidRPr="00EF7762" w:rsidRDefault="00500F22" w:rsidP="00B4104B">
            <w:pPr>
              <w:spacing w:after="0" w:line="240" w:lineRule="auto"/>
              <w:jc w:val="center"/>
              <w:rPr>
                <w:rFonts w:asciiTheme="minorHAnsi" w:eastAsia="Times New Roman" w:hAnsiTheme="minorHAnsi" w:cstheme="minorHAnsi"/>
                <w:color w:val="000000"/>
                <w:sz w:val="20"/>
                <w:szCs w:val="20"/>
                <w:lang w:eastAsia="en-GB"/>
              </w:rPr>
            </w:pPr>
          </w:p>
        </w:tc>
      </w:tr>
      <w:tr w:rsidR="00500F22" w:rsidRPr="006E1687" w:rsidTr="00500F22">
        <w:trPr>
          <w:trHeight w:val="1037"/>
        </w:trPr>
        <w:tc>
          <w:tcPr>
            <w:tcW w:w="3470" w:type="dxa"/>
            <w:shd w:val="clear" w:color="auto" w:fill="auto"/>
            <w:hideMark/>
          </w:tcPr>
          <w:p w:rsidR="00500F2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P1</w:t>
            </w:r>
            <w:r>
              <w:rPr>
                <w:rFonts w:asciiTheme="minorHAnsi" w:eastAsia="Times New Roman" w:hAnsiTheme="minorHAnsi" w:cstheme="minorHAnsi"/>
                <w:color w:val="000000"/>
                <w:sz w:val="20"/>
                <w:szCs w:val="20"/>
                <w:lang w:eastAsia="en-GB"/>
              </w:rPr>
              <w:t xml:space="preserve"> (</w:t>
            </w:r>
            <w:r w:rsidRPr="00EF7762">
              <w:rPr>
                <w:rFonts w:asciiTheme="minorHAnsi" w:eastAsia="Times New Roman" w:hAnsiTheme="minorHAnsi" w:cstheme="minorHAnsi"/>
                <w:color w:val="000000"/>
                <w:sz w:val="20"/>
                <w:szCs w:val="20"/>
                <w:lang w:eastAsia="en-GB"/>
              </w:rPr>
              <w:t>Highest Priority</w:t>
            </w:r>
            <w:r>
              <w:rPr>
                <w:rFonts w:asciiTheme="minorHAnsi" w:eastAsia="Times New Roman" w:hAnsiTheme="minorHAnsi" w:cstheme="minorHAnsi"/>
                <w:color w:val="000000"/>
                <w:sz w:val="20"/>
                <w:szCs w:val="20"/>
                <w:lang w:eastAsia="en-GB"/>
              </w:rPr>
              <w:t>)</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I</w:t>
            </w:r>
            <w:r w:rsidRPr="00EF7762">
              <w:rPr>
                <w:rFonts w:asciiTheme="minorHAnsi" w:eastAsia="Times New Roman" w:hAnsiTheme="minorHAnsi" w:cstheme="minorHAnsi"/>
                <w:color w:val="000000"/>
                <w:sz w:val="20"/>
                <w:szCs w:val="20"/>
                <w:lang w:eastAsia="en-GB"/>
              </w:rPr>
              <w:t xml:space="preserve">ncidents which pose an immediate threat to human life </w:t>
            </w:r>
          </w:p>
        </w:tc>
        <w:tc>
          <w:tcPr>
            <w:tcW w:w="3119" w:type="dxa"/>
            <w:shd w:val="clear" w:color="auto" w:fill="auto"/>
            <w:hideMark/>
          </w:tcPr>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Persons physically trapped</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Rescue from water</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Rescue from Road Traffic Collision</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Building fire, persons reported</w:t>
            </w:r>
          </w:p>
        </w:tc>
      </w:tr>
      <w:tr w:rsidR="00500F22" w:rsidRPr="006E1687" w:rsidTr="00500F22">
        <w:trPr>
          <w:trHeight w:val="915"/>
        </w:trPr>
        <w:tc>
          <w:tcPr>
            <w:tcW w:w="3470" w:type="dxa"/>
            <w:shd w:val="clear" w:color="auto" w:fill="auto"/>
            <w:hideMark/>
          </w:tcPr>
          <w:p w:rsidR="00500F2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P2</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Incidents which pose a serious hazard and high risk threat to life</w:t>
            </w:r>
          </w:p>
        </w:tc>
        <w:tc>
          <w:tcPr>
            <w:tcW w:w="3119" w:type="dxa"/>
            <w:shd w:val="clear" w:color="auto" w:fill="auto"/>
            <w:hideMark/>
          </w:tcPr>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Building fire or explosion</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Fire in a train</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Fire in electrical installations</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Caravan fire</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Lorry or coach fire</w:t>
            </w:r>
          </w:p>
        </w:tc>
      </w:tr>
      <w:tr w:rsidR="00500F22" w:rsidRPr="006E1687" w:rsidTr="00500F22">
        <w:trPr>
          <w:trHeight w:val="915"/>
        </w:trPr>
        <w:tc>
          <w:tcPr>
            <w:tcW w:w="3470" w:type="dxa"/>
            <w:shd w:val="clear" w:color="auto" w:fill="auto"/>
            <w:hideMark/>
          </w:tcPr>
          <w:p w:rsidR="00500F2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P3</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Incidents which pose a potential serious hazard to human life</w:t>
            </w:r>
          </w:p>
        </w:tc>
        <w:tc>
          <w:tcPr>
            <w:tcW w:w="3119" w:type="dxa"/>
            <w:shd w:val="clear" w:color="auto" w:fill="auto"/>
            <w:hideMark/>
          </w:tcPr>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Car fire</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Hazardous Materials</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Chimney</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Railway Embankments</w:t>
            </w:r>
          </w:p>
        </w:tc>
      </w:tr>
      <w:tr w:rsidR="00500F22" w:rsidRPr="006E1687" w:rsidTr="00500F22">
        <w:trPr>
          <w:trHeight w:val="615"/>
        </w:trPr>
        <w:tc>
          <w:tcPr>
            <w:tcW w:w="3470" w:type="dxa"/>
            <w:shd w:val="clear" w:color="auto" w:fill="auto"/>
            <w:hideMark/>
          </w:tcPr>
          <w:p w:rsidR="00500F2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P4</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Incidents which pose a potential hazard to human life</w:t>
            </w:r>
          </w:p>
        </w:tc>
        <w:tc>
          <w:tcPr>
            <w:tcW w:w="3119" w:type="dxa"/>
            <w:shd w:val="clear" w:color="auto" w:fill="auto"/>
            <w:hideMark/>
          </w:tcPr>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Small fire outdoors</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Roadside Furniture</w:t>
            </w:r>
          </w:p>
        </w:tc>
      </w:tr>
      <w:tr w:rsidR="00500F22" w:rsidRPr="006E1687" w:rsidTr="00500F22">
        <w:trPr>
          <w:trHeight w:val="711"/>
        </w:trPr>
        <w:tc>
          <w:tcPr>
            <w:tcW w:w="3470" w:type="dxa"/>
            <w:shd w:val="clear" w:color="auto" w:fill="auto"/>
            <w:hideMark/>
          </w:tcPr>
          <w:p w:rsidR="00500F2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P5</w:t>
            </w:r>
            <w:r>
              <w:rPr>
                <w:rFonts w:asciiTheme="minorHAnsi" w:eastAsia="Times New Roman" w:hAnsiTheme="minorHAnsi" w:cstheme="minorHAnsi"/>
                <w:color w:val="000000"/>
                <w:sz w:val="20"/>
                <w:szCs w:val="20"/>
                <w:lang w:eastAsia="en-GB"/>
              </w:rPr>
              <w:t xml:space="preserve"> (L</w:t>
            </w:r>
            <w:r w:rsidRPr="00EF7762">
              <w:rPr>
                <w:rFonts w:asciiTheme="minorHAnsi" w:eastAsia="Times New Roman" w:hAnsiTheme="minorHAnsi" w:cstheme="minorHAnsi"/>
                <w:color w:val="000000"/>
                <w:sz w:val="20"/>
                <w:szCs w:val="20"/>
                <w:lang w:eastAsia="en-GB"/>
              </w:rPr>
              <w:t>owest Priority</w:t>
            </w:r>
            <w:r>
              <w:rPr>
                <w:rFonts w:asciiTheme="minorHAnsi" w:eastAsia="Times New Roman" w:hAnsiTheme="minorHAnsi" w:cstheme="minorHAnsi"/>
                <w:color w:val="000000"/>
                <w:sz w:val="20"/>
                <w:szCs w:val="20"/>
                <w:lang w:eastAsia="en-GB"/>
              </w:rPr>
              <w:t>)</w:t>
            </w: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p>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Incidents which pose a confirmed low hazard to human life</w:t>
            </w:r>
          </w:p>
        </w:tc>
        <w:tc>
          <w:tcPr>
            <w:tcW w:w="3119" w:type="dxa"/>
            <w:shd w:val="clear" w:color="auto" w:fill="auto"/>
            <w:hideMark/>
          </w:tcPr>
          <w:p w:rsidR="00500F22" w:rsidRPr="00EF7762" w:rsidRDefault="00500F22" w:rsidP="00B4104B">
            <w:pPr>
              <w:spacing w:after="0" w:line="240" w:lineRule="auto"/>
              <w:rPr>
                <w:rFonts w:asciiTheme="minorHAnsi" w:eastAsia="Times New Roman" w:hAnsiTheme="minorHAnsi" w:cstheme="minorHAnsi"/>
                <w:color w:val="000000"/>
                <w:sz w:val="20"/>
                <w:szCs w:val="20"/>
                <w:lang w:eastAsia="en-GB"/>
              </w:rPr>
            </w:pPr>
            <w:r w:rsidRPr="00EF7762">
              <w:rPr>
                <w:rFonts w:asciiTheme="minorHAnsi" w:eastAsia="Times New Roman" w:hAnsiTheme="minorHAnsi" w:cstheme="minorHAnsi"/>
                <w:color w:val="000000"/>
                <w:sz w:val="20"/>
                <w:szCs w:val="20"/>
                <w:lang w:eastAsia="en-GB"/>
              </w:rPr>
              <w:t>Fire believed to be already out</w:t>
            </w:r>
          </w:p>
        </w:tc>
      </w:tr>
    </w:tbl>
    <w:p w:rsidR="00500F22" w:rsidRDefault="00500F22" w:rsidP="00500F22">
      <w:pPr>
        <w:spacing w:after="0" w:line="240" w:lineRule="auto"/>
        <w:rPr>
          <w:rFonts w:ascii="Calibri" w:hAnsi="Calibri" w:cs="Calibri"/>
          <w:color w:val="FF0000"/>
          <w:sz w:val="22"/>
          <w:szCs w:val="22"/>
        </w:rPr>
      </w:pPr>
    </w:p>
    <w:p w:rsidR="00500F22" w:rsidRDefault="00500F22" w:rsidP="00500F22">
      <w:pPr>
        <w:spacing w:after="0" w:line="240" w:lineRule="auto"/>
        <w:rPr>
          <w:rFonts w:ascii="Calibri" w:hAnsi="Calibri" w:cs="Calibri"/>
          <w:color w:val="FF0000"/>
          <w:sz w:val="22"/>
          <w:szCs w:val="22"/>
        </w:rPr>
      </w:pPr>
    </w:p>
    <w:p w:rsidR="00500F22" w:rsidRPr="001A5278" w:rsidRDefault="00500F22" w:rsidP="00500F22">
      <w:pPr>
        <w:spacing w:after="0" w:line="240" w:lineRule="auto"/>
        <w:rPr>
          <w:rFonts w:ascii="Calibri" w:hAnsi="Calibri" w:cs="Calibri"/>
          <w:color w:val="FF0000"/>
          <w:sz w:val="22"/>
          <w:szCs w:val="22"/>
          <w:u w:val="single"/>
        </w:rPr>
      </w:pPr>
      <w:r w:rsidRPr="001A5278">
        <w:rPr>
          <w:rFonts w:ascii="Calibri" w:hAnsi="Calibri" w:cs="Calibri"/>
          <w:color w:val="FF0000"/>
          <w:sz w:val="22"/>
          <w:szCs w:val="22"/>
        </w:rPr>
        <w:t xml:space="preserve">  </w:t>
      </w: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p w:rsidR="00500F22" w:rsidRDefault="00500F22" w:rsidP="00500F22">
      <w:pPr>
        <w:spacing w:after="0" w:line="240" w:lineRule="auto"/>
        <w:rPr>
          <w:rFonts w:ascii="Calibri" w:hAnsi="Calibri" w:cs="Calibri"/>
          <w:color w:val="000000" w:themeColor="text1"/>
          <w:sz w:val="22"/>
          <w:szCs w:val="22"/>
          <w:u w:val="single"/>
        </w:rPr>
      </w:pPr>
    </w:p>
    <w:sectPr w:rsidR="00500F22" w:rsidSect="00500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12C5"/>
    <w:multiLevelType w:val="hybridMultilevel"/>
    <w:tmpl w:val="61B4BAA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DCA065C"/>
    <w:multiLevelType w:val="hybridMultilevel"/>
    <w:tmpl w:val="2AB0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9B7600"/>
    <w:multiLevelType w:val="hybridMultilevel"/>
    <w:tmpl w:val="8182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8C"/>
    <w:rsid w:val="003632C3"/>
    <w:rsid w:val="004B6894"/>
    <w:rsid w:val="00500F22"/>
    <w:rsid w:val="00501F8C"/>
    <w:rsid w:val="00584430"/>
    <w:rsid w:val="00605839"/>
    <w:rsid w:val="0081359E"/>
    <w:rsid w:val="00A127ED"/>
    <w:rsid w:val="00AA4E53"/>
    <w:rsid w:val="00AB1D26"/>
    <w:rsid w:val="00C374B6"/>
    <w:rsid w:val="00DB6994"/>
    <w:rsid w:val="00DF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F8C"/>
    <w:pPr>
      <w:autoSpaceDE w:val="0"/>
      <w:autoSpaceDN w:val="0"/>
      <w:adjustRightInd w:val="0"/>
      <w:spacing w:after="0" w:line="240" w:lineRule="auto"/>
    </w:pPr>
    <w:rPr>
      <w:color w:val="000000"/>
    </w:rPr>
  </w:style>
  <w:style w:type="paragraph" w:styleId="ListParagraph">
    <w:name w:val="List Paragraph"/>
    <w:basedOn w:val="Normal"/>
    <w:uiPriority w:val="34"/>
    <w:qFormat/>
    <w:rsid w:val="00501F8C"/>
    <w:pPr>
      <w:ind w:left="720"/>
      <w:contextualSpacing/>
    </w:pPr>
  </w:style>
  <w:style w:type="paragraph" w:styleId="NoSpacing">
    <w:name w:val="No Spacing"/>
    <w:uiPriority w:val="1"/>
    <w:qFormat/>
    <w:rsid w:val="00A127ED"/>
    <w:pPr>
      <w:spacing w:after="0" w:line="240" w:lineRule="auto"/>
    </w:pPr>
    <w:rPr>
      <w:rFonts w:ascii="Calibri" w:eastAsia="Calibri" w:hAnsi="Calibri" w:cs="Times New Roman"/>
      <w:sz w:val="22"/>
      <w:szCs w:val="22"/>
    </w:rPr>
  </w:style>
  <w:style w:type="table" w:styleId="TableGrid">
    <w:name w:val="Table Grid"/>
    <w:basedOn w:val="TableNormal"/>
    <w:uiPriority w:val="59"/>
    <w:rsid w:val="00A1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F8C"/>
    <w:pPr>
      <w:autoSpaceDE w:val="0"/>
      <w:autoSpaceDN w:val="0"/>
      <w:adjustRightInd w:val="0"/>
      <w:spacing w:after="0" w:line="240" w:lineRule="auto"/>
    </w:pPr>
    <w:rPr>
      <w:color w:val="000000"/>
    </w:rPr>
  </w:style>
  <w:style w:type="paragraph" w:styleId="ListParagraph">
    <w:name w:val="List Paragraph"/>
    <w:basedOn w:val="Normal"/>
    <w:uiPriority w:val="34"/>
    <w:qFormat/>
    <w:rsid w:val="00501F8C"/>
    <w:pPr>
      <w:ind w:left="720"/>
      <w:contextualSpacing/>
    </w:pPr>
  </w:style>
  <w:style w:type="paragraph" w:styleId="NoSpacing">
    <w:name w:val="No Spacing"/>
    <w:uiPriority w:val="1"/>
    <w:qFormat/>
    <w:rsid w:val="00A127ED"/>
    <w:pPr>
      <w:spacing w:after="0" w:line="240" w:lineRule="auto"/>
    </w:pPr>
    <w:rPr>
      <w:rFonts w:ascii="Calibri" w:eastAsia="Calibri" w:hAnsi="Calibri" w:cs="Times New Roman"/>
      <w:sz w:val="22"/>
      <w:szCs w:val="22"/>
    </w:rPr>
  </w:style>
  <w:style w:type="table" w:styleId="TableGrid">
    <w:name w:val="Table Grid"/>
    <w:basedOn w:val="TableNormal"/>
    <w:uiPriority w:val="59"/>
    <w:rsid w:val="00A1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B558460EB244EBD4E6E2B92DBC330" ma:contentTypeVersion="10" ma:contentTypeDescription="Create a new document." ma:contentTypeScope="" ma:versionID="f080e7d8e8b3726142daa619ebe63683">
  <xsd:schema xmlns:xsd="http://www.w3.org/2001/XMLSchema" xmlns:xs="http://www.w3.org/2001/XMLSchema" xmlns:p="http://schemas.microsoft.com/office/2006/metadata/properties" xmlns:ns2="b0ffff73-e7a5-4432-b065-a6d90ebabbd2" xmlns:ns3="08e6bd76-3673-427c-a6f5-de8907ab0879" targetNamespace="http://schemas.microsoft.com/office/2006/metadata/properties" ma:root="true" ma:fieldsID="c766efb2451ab546c500386d21136d57" ns2:_="" ns3:_="">
    <xsd:import namespace="b0ffff73-e7a5-4432-b065-a6d90ebabbd2"/>
    <xsd:import namespace="08e6bd76-3673-427c-a6f5-de8907ab0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ff73-e7a5-4432-b065-a6d90ebab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6bd76-3673-427c-a6f5-de8907ab08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e6bd76-3673-427c-a6f5-de8907ab0879">
      <UserInfo>
        <DisplayName/>
        <AccountId xsi:nil="true"/>
        <AccountType/>
      </UserInfo>
    </SharedWithUsers>
  </documentManagement>
</p:properties>
</file>

<file path=customXml/itemProps1.xml><?xml version="1.0" encoding="utf-8"?>
<ds:datastoreItem xmlns:ds="http://schemas.openxmlformats.org/officeDocument/2006/customXml" ds:itemID="{8351E8F2-7897-41E8-869D-5E28B3CE9941}"/>
</file>

<file path=customXml/itemProps2.xml><?xml version="1.0" encoding="utf-8"?>
<ds:datastoreItem xmlns:ds="http://schemas.openxmlformats.org/officeDocument/2006/customXml" ds:itemID="{AF5509B8-B090-4D42-92C8-D7DFA811C4F4}"/>
</file>

<file path=customXml/itemProps3.xml><?xml version="1.0" encoding="utf-8"?>
<ds:datastoreItem xmlns:ds="http://schemas.openxmlformats.org/officeDocument/2006/customXml" ds:itemID="{F91DAE65-0176-42A8-8076-3128C4F3DA78}"/>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 Mallaban</dc:creator>
  <cp:lastModifiedBy>Rosemarie Holme</cp:lastModifiedBy>
  <cp:revision>3</cp:revision>
  <dcterms:created xsi:type="dcterms:W3CDTF">2019-04-09T07:34:00Z</dcterms:created>
  <dcterms:modified xsi:type="dcterms:W3CDTF">2019-04-09T13:48:00Z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0x010100537B558460EB244EBD4E6E2B92DBC330</vt:lpwstr>
  </property>
  <property fmtid="{D5CDD505-2E9C-101B-9397-08002B2CF9AE}" pid="3" name="Order">
    <vt:r8>65300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