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A37B" w14:textId="77777777" w:rsidR="00FE7086" w:rsidRDefault="00FE7086">
      <w:pPr>
        <w:pBdr>
          <w:top w:val="nil"/>
          <w:left w:val="nil"/>
          <w:bottom w:val="nil"/>
          <w:right w:val="nil"/>
          <w:between w:val="nil"/>
        </w:pBdr>
        <w:tabs>
          <w:tab w:val="left" w:pos="180"/>
        </w:tabs>
        <w:spacing w:after="0" w:line="240" w:lineRule="auto"/>
        <w:rPr>
          <w:color w:val="000000"/>
        </w:rPr>
      </w:pPr>
      <w:bookmarkStart w:id="0" w:name="_GoBack"/>
      <w:bookmarkEnd w:id="0"/>
    </w:p>
    <w:p w14:paraId="72F2A37C" w14:textId="77777777" w:rsidR="00FE7086" w:rsidRDefault="00FE7086">
      <w:pPr>
        <w:pBdr>
          <w:top w:val="nil"/>
          <w:left w:val="nil"/>
          <w:bottom w:val="nil"/>
          <w:right w:val="nil"/>
          <w:between w:val="nil"/>
        </w:pBdr>
        <w:tabs>
          <w:tab w:val="left" w:pos="180"/>
        </w:tabs>
        <w:spacing w:after="0" w:line="240" w:lineRule="auto"/>
        <w:jc w:val="center"/>
        <w:rPr>
          <w:b/>
          <w:color w:val="000000"/>
          <w:sz w:val="36"/>
          <w:szCs w:val="36"/>
        </w:rPr>
      </w:pPr>
    </w:p>
    <w:p w14:paraId="72F2A37D" w14:textId="77777777" w:rsidR="00FE7086" w:rsidRDefault="00FE7086">
      <w:pPr>
        <w:pBdr>
          <w:top w:val="nil"/>
          <w:left w:val="nil"/>
          <w:bottom w:val="nil"/>
          <w:right w:val="nil"/>
          <w:between w:val="nil"/>
        </w:pBdr>
        <w:tabs>
          <w:tab w:val="left" w:pos="180"/>
        </w:tabs>
        <w:spacing w:after="0" w:line="240" w:lineRule="auto"/>
        <w:jc w:val="center"/>
        <w:rPr>
          <w:b/>
          <w:color w:val="000000"/>
          <w:sz w:val="36"/>
          <w:szCs w:val="36"/>
        </w:rPr>
      </w:pPr>
    </w:p>
    <w:p w14:paraId="72F2A37E" w14:textId="77777777" w:rsidR="00FE7086" w:rsidRDefault="00FE7086">
      <w:pPr>
        <w:pBdr>
          <w:top w:val="nil"/>
          <w:left w:val="nil"/>
          <w:bottom w:val="nil"/>
          <w:right w:val="nil"/>
          <w:between w:val="nil"/>
        </w:pBdr>
        <w:tabs>
          <w:tab w:val="left" w:pos="180"/>
        </w:tabs>
        <w:spacing w:after="0" w:line="240" w:lineRule="auto"/>
        <w:jc w:val="center"/>
        <w:rPr>
          <w:b/>
          <w:color w:val="000000"/>
          <w:sz w:val="36"/>
          <w:szCs w:val="36"/>
        </w:rPr>
      </w:pPr>
    </w:p>
    <w:p w14:paraId="72F2A37F" w14:textId="77777777" w:rsidR="00FE7086" w:rsidRDefault="00FE7086">
      <w:pPr>
        <w:pBdr>
          <w:top w:val="nil"/>
          <w:left w:val="nil"/>
          <w:bottom w:val="nil"/>
          <w:right w:val="nil"/>
          <w:between w:val="nil"/>
        </w:pBdr>
        <w:tabs>
          <w:tab w:val="left" w:pos="180"/>
        </w:tabs>
        <w:spacing w:after="0" w:line="240" w:lineRule="auto"/>
        <w:jc w:val="center"/>
        <w:rPr>
          <w:b/>
          <w:color w:val="000000"/>
          <w:sz w:val="36"/>
          <w:szCs w:val="36"/>
        </w:rPr>
      </w:pPr>
    </w:p>
    <w:p w14:paraId="72F2A380" w14:textId="77777777" w:rsidR="00FE7086" w:rsidRDefault="00FE7086">
      <w:pPr>
        <w:pBdr>
          <w:top w:val="nil"/>
          <w:left w:val="nil"/>
          <w:bottom w:val="nil"/>
          <w:right w:val="nil"/>
          <w:between w:val="nil"/>
        </w:pBdr>
        <w:tabs>
          <w:tab w:val="left" w:pos="180"/>
        </w:tabs>
        <w:spacing w:after="0" w:line="240" w:lineRule="auto"/>
        <w:jc w:val="center"/>
        <w:rPr>
          <w:b/>
          <w:color w:val="000000"/>
          <w:sz w:val="36"/>
          <w:szCs w:val="36"/>
        </w:rPr>
      </w:pPr>
    </w:p>
    <w:p w14:paraId="72F2A381" w14:textId="77777777" w:rsidR="00FE7086" w:rsidRDefault="00FE7086">
      <w:pPr>
        <w:pBdr>
          <w:top w:val="nil"/>
          <w:left w:val="nil"/>
          <w:bottom w:val="nil"/>
          <w:right w:val="nil"/>
          <w:between w:val="nil"/>
        </w:pBdr>
        <w:tabs>
          <w:tab w:val="left" w:pos="180"/>
        </w:tabs>
        <w:spacing w:after="0" w:line="240" w:lineRule="auto"/>
        <w:jc w:val="center"/>
        <w:rPr>
          <w:b/>
          <w:color w:val="000000"/>
          <w:sz w:val="36"/>
          <w:szCs w:val="36"/>
        </w:rPr>
      </w:pPr>
    </w:p>
    <w:p w14:paraId="72F2A382" w14:textId="77777777" w:rsidR="00FE7086" w:rsidRDefault="00FE7086">
      <w:pPr>
        <w:pBdr>
          <w:top w:val="nil"/>
          <w:left w:val="nil"/>
          <w:bottom w:val="nil"/>
          <w:right w:val="nil"/>
          <w:between w:val="nil"/>
        </w:pBdr>
        <w:tabs>
          <w:tab w:val="left" w:pos="180"/>
        </w:tabs>
        <w:spacing w:after="0" w:line="240" w:lineRule="auto"/>
        <w:jc w:val="center"/>
        <w:rPr>
          <w:b/>
          <w:color w:val="000000"/>
          <w:sz w:val="36"/>
          <w:szCs w:val="36"/>
        </w:rPr>
      </w:pPr>
    </w:p>
    <w:p w14:paraId="72F2A383" w14:textId="77777777" w:rsidR="00FE7086" w:rsidRDefault="0070536C">
      <w:pPr>
        <w:pBdr>
          <w:top w:val="nil"/>
          <w:left w:val="nil"/>
          <w:bottom w:val="nil"/>
          <w:right w:val="nil"/>
          <w:between w:val="nil"/>
        </w:pBdr>
        <w:tabs>
          <w:tab w:val="left" w:pos="180"/>
        </w:tabs>
        <w:spacing w:after="0" w:line="240" w:lineRule="auto"/>
        <w:jc w:val="center"/>
        <w:rPr>
          <w:b/>
          <w:color w:val="000000"/>
          <w:sz w:val="28"/>
          <w:szCs w:val="28"/>
        </w:rPr>
      </w:pPr>
      <w:r>
        <w:rPr>
          <w:b/>
          <w:color w:val="000000"/>
          <w:sz w:val="28"/>
          <w:szCs w:val="28"/>
        </w:rPr>
        <w:t>EQUALITY IMPACT ASSESSMENT (EIA)</w:t>
      </w:r>
    </w:p>
    <w:p w14:paraId="72F2A384" w14:textId="77777777" w:rsidR="00FE7086" w:rsidRDefault="00FE7086">
      <w:pPr>
        <w:pBdr>
          <w:top w:val="nil"/>
          <w:left w:val="nil"/>
          <w:bottom w:val="nil"/>
          <w:right w:val="nil"/>
          <w:between w:val="nil"/>
        </w:pBdr>
        <w:tabs>
          <w:tab w:val="left" w:pos="180"/>
        </w:tabs>
        <w:spacing w:after="0" w:line="240" w:lineRule="auto"/>
        <w:jc w:val="center"/>
        <w:rPr>
          <w:color w:val="000000"/>
          <w:sz w:val="28"/>
          <w:szCs w:val="28"/>
        </w:rPr>
      </w:pPr>
    </w:p>
    <w:p w14:paraId="72F2A385" w14:textId="71C0D6C9" w:rsidR="00DC2887" w:rsidRPr="001730CB" w:rsidRDefault="00C3089B">
      <w:pPr>
        <w:spacing w:after="0" w:line="240" w:lineRule="auto"/>
        <w:jc w:val="center"/>
        <w:rPr>
          <w:rFonts w:ascii="Arial Narrow" w:hAnsi="Arial Narrow"/>
          <w:b/>
          <w:bCs/>
          <w:iCs/>
          <w:color w:val="000000"/>
        </w:rPr>
      </w:pPr>
      <w:r>
        <w:rPr>
          <w:b/>
          <w:color w:val="000000"/>
          <w:sz w:val="28"/>
          <w:szCs w:val="28"/>
        </w:rPr>
        <w:t xml:space="preserve">Health and Wellbeing Strategy refresh </w:t>
      </w:r>
      <w:r w:rsidR="007C24C2">
        <w:rPr>
          <w:b/>
          <w:color w:val="000000"/>
          <w:sz w:val="28"/>
          <w:szCs w:val="28"/>
        </w:rPr>
        <w:t>2020 – 2025</w:t>
      </w:r>
    </w:p>
    <w:p w14:paraId="72F2A386" w14:textId="77777777" w:rsidR="001730CB" w:rsidRDefault="001730CB">
      <w:pPr>
        <w:spacing w:after="0" w:line="240" w:lineRule="auto"/>
        <w:jc w:val="center"/>
        <w:rPr>
          <w:b/>
        </w:rPr>
      </w:pPr>
    </w:p>
    <w:p w14:paraId="72F2A387" w14:textId="77777777" w:rsidR="00FE7086" w:rsidRDefault="0070536C">
      <w:pPr>
        <w:spacing w:after="0" w:line="240" w:lineRule="auto"/>
        <w:jc w:val="center"/>
        <w:rPr>
          <w:b/>
          <w:i/>
        </w:rPr>
      </w:pPr>
      <w:r>
        <w:rPr>
          <w:b/>
          <w:i/>
        </w:rPr>
        <w:t xml:space="preserve">Before completing this document please refer to our ‘Guide to Equality Impact Assessments’ </w:t>
      </w:r>
      <w:hyperlink r:id="rId10">
        <w:r>
          <w:rPr>
            <w:b/>
            <w:i/>
            <w:color w:val="1155CC"/>
            <w:u w:val="single"/>
          </w:rPr>
          <w:t>here</w:t>
        </w:r>
      </w:hyperlink>
      <w:r>
        <w:rPr>
          <w:b/>
          <w:i/>
        </w:rPr>
        <w:t xml:space="preserve">. </w:t>
      </w:r>
    </w:p>
    <w:p w14:paraId="72F2A388" w14:textId="77777777" w:rsidR="00FE7086" w:rsidRDefault="00FE7086">
      <w:pPr>
        <w:spacing w:after="0" w:line="240" w:lineRule="auto"/>
        <w:rPr>
          <w:i/>
        </w:rPr>
      </w:pPr>
    </w:p>
    <w:p w14:paraId="72F2A389" w14:textId="77777777" w:rsidR="00FE7086" w:rsidRDefault="00FE7086"/>
    <w:p w14:paraId="72F2A38A" w14:textId="77777777" w:rsidR="00FE7086" w:rsidRDefault="0070536C">
      <w:pPr>
        <w:tabs>
          <w:tab w:val="left" w:pos="5947"/>
        </w:tabs>
      </w:pPr>
      <w:r>
        <w:tab/>
      </w:r>
    </w:p>
    <w:p w14:paraId="72F2A38B" w14:textId="77777777" w:rsidR="00FE7086" w:rsidRDefault="00FE7086"/>
    <w:p w14:paraId="72F2A38C" w14:textId="77777777" w:rsidR="00FE7086" w:rsidRDefault="00FE7086"/>
    <w:p w14:paraId="72F2A38D" w14:textId="77777777" w:rsidR="00FE7086" w:rsidRDefault="00FE7086"/>
    <w:p w14:paraId="72F2A38E" w14:textId="77777777" w:rsidR="00FE7086" w:rsidRDefault="00FE7086"/>
    <w:tbl>
      <w:tblPr>
        <w:tblStyle w:val="a"/>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9072"/>
      </w:tblGrid>
      <w:tr w:rsidR="00FE7086" w14:paraId="72F2A392" w14:textId="77777777">
        <w:trPr>
          <w:trHeight w:val="620"/>
        </w:trPr>
        <w:tc>
          <w:tcPr>
            <w:tcW w:w="5070" w:type="dxa"/>
          </w:tcPr>
          <w:p w14:paraId="72F2A38F" w14:textId="77777777" w:rsidR="00FE7086" w:rsidRDefault="0070536C">
            <w:pPr>
              <w:keepNext/>
              <w:rPr>
                <w:b/>
              </w:rPr>
            </w:pPr>
            <w:r>
              <w:rPr>
                <w:b/>
              </w:rPr>
              <w:lastRenderedPageBreak/>
              <w:t>Service/policy/strategy/practice/plan being assessed</w:t>
            </w:r>
          </w:p>
        </w:tc>
        <w:tc>
          <w:tcPr>
            <w:tcW w:w="9072" w:type="dxa"/>
          </w:tcPr>
          <w:p w14:paraId="54B15614" w14:textId="3EF47077" w:rsidR="000A5E9B" w:rsidRPr="000A5E9B" w:rsidRDefault="000A5E9B" w:rsidP="000A5E9B">
            <w:pPr>
              <w:rPr>
                <w:rFonts w:ascii="Arial Narrow" w:hAnsi="Arial Narrow"/>
                <w:b/>
                <w:bCs/>
                <w:iCs/>
                <w:color w:val="000000"/>
              </w:rPr>
            </w:pPr>
            <w:r w:rsidRPr="000A5E9B">
              <w:rPr>
                <w:b/>
                <w:bCs/>
              </w:rPr>
              <w:t>Health and Wellbeing Strategy refresh 2020 – 2025</w:t>
            </w:r>
          </w:p>
          <w:p w14:paraId="72F2A391" w14:textId="77777777" w:rsidR="00FE7086" w:rsidRDefault="00FE7086" w:rsidP="000A5E9B">
            <w:pPr>
              <w:jc w:val="center"/>
            </w:pPr>
          </w:p>
        </w:tc>
      </w:tr>
      <w:tr w:rsidR="00FE7086" w14:paraId="72F2A395" w14:textId="77777777">
        <w:trPr>
          <w:trHeight w:val="620"/>
        </w:trPr>
        <w:tc>
          <w:tcPr>
            <w:tcW w:w="5070" w:type="dxa"/>
          </w:tcPr>
          <w:p w14:paraId="72F2A393" w14:textId="77777777" w:rsidR="00FE7086" w:rsidRDefault="0070536C">
            <w:pPr>
              <w:keepNext/>
            </w:pPr>
            <w:r>
              <w:rPr>
                <w:b/>
              </w:rPr>
              <w:t>Business Unit/Service Area</w:t>
            </w:r>
          </w:p>
        </w:tc>
        <w:tc>
          <w:tcPr>
            <w:tcW w:w="9072" w:type="dxa"/>
          </w:tcPr>
          <w:p w14:paraId="72F2A394" w14:textId="279D5CAB" w:rsidR="00FE7086" w:rsidRDefault="0070536C">
            <w:r>
              <w:t>Public Health</w:t>
            </w:r>
            <w:r w:rsidR="001668A3">
              <w:t xml:space="preserve"> (on behalf of the</w:t>
            </w:r>
            <w:r w:rsidR="00016AD7">
              <w:t xml:space="preserve"> Warwickshire</w:t>
            </w:r>
            <w:r w:rsidR="00804E84">
              <w:t xml:space="preserve"> </w:t>
            </w:r>
            <w:r w:rsidR="001668A3">
              <w:t>Health and Wellbeing Board)</w:t>
            </w:r>
          </w:p>
        </w:tc>
      </w:tr>
      <w:tr w:rsidR="00FE7086" w14:paraId="72F2A398" w14:textId="77777777">
        <w:trPr>
          <w:trHeight w:val="620"/>
        </w:trPr>
        <w:tc>
          <w:tcPr>
            <w:tcW w:w="5070" w:type="dxa"/>
          </w:tcPr>
          <w:p w14:paraId="72F2A396" w14:textId="77777777" w:rsidR="00FE7086" w:rsidRPr="00FB6998" w:rsidRDefault="0070536C" w:rsidP="00FB6998">
            <w:pPr>
              <w:keepNext/>
              <w:tabs>
                <w:tab w:val="left" w:pos="0"/>
              </w:tabs>
              <w:rPr>
                <w:b/>
                <w:color w:val="000000"/>
              </w:rPr>
            </w:pPr>
            <w:r>
              <w:rPr>
                <w:b/>
                <w:color w:val="000000"/>
              </w:rPr>
              <w:t xml:space="preserve">Is this a new or existing service/policy/strategy/practice/plan?  </w:t>
            </w:r>
          </w:p>
        </w:tc>
        <w:tc>
          <w:tcPr>
            <w:tcW w:w="9072" w:type="dxa"/>
          </w:tcPr>
          <w:p w14:paraId="72F2A397" w14:textId="7F01E9BE" w:rsidR="00FE7086" w:rsidRDefault="009201A5">
            <w:r>
              <w:t>Existing Strat</w:t>
            </w:r>
            <w:r w:rsidR="000129BF">
              <w:t>e</w:t>
            </w:r>
            <w:r>
              <w:t xml:space="preserve">gy </w:t>
            </w:r>
            <w:r w:rsidR="000129BF">
              <w:t>(refresh)</w:t>
            </w:r>
          </w:p>
        </w:tc>
      </w:tr>
      <w:tr w:rsidR="00FE7086" w14:paraId="72F2A39B" w14:textId="77777777">
        <w:trPr>
          <w:trHeight w:val="620"/>
        </w:trPr>
        <w:tc>
          <w:tcPr>
            <w:tcW w:w="5070" w:type="dxa"/>
          </w:tcPr>
          <w:p w14:paraId="72F2A399" w14:textId="77777777" w:rsidR="00FE7086" w:rsidRDefault="0070536C">
            <w:pPr>
              <w:keepNext/>
              <w:rPr>
                <w:b/>
              </w:rPr>
            </w:pPr>
            <w:r>
              <w:rPr>
                <w:b/>
              </w:rPr>
              <w:t>EIA Review team – list of members</w:t>
            </w:r>
          </w:p>
        </w:tc>
        <w:tc>
          <w:tcPr>
            <w:tcW w:w="9072" w:type="dxa"/>
          </w:tcPr>
          <w:p w14:paraId="72F2A39A" w14:textId="4530E2D8" w:rsidR="00FE7086" w:rsidRDefault="007A760A" w:rsidP="00FB6998">
            <w:r>
              <w:t>Rachel Barnes</w:t>
            </w:r>
            <w:r w:rsidR="001B5D5A">
              <w:t>, Rob Sabin, Lucy Rumble, Sue Robinson</w:t>
            </w:r>
            <w:r w:rsidR="001B0F33">
              <w:t>, Gemma McKinnon</w:t>
            </w:r>
          </w:p>
        </w:tc>
      </w:tr>
      <w:tr w:rsidR="00FE7086" w14:paraId="72F2A39E" w14:textId="77777777">
        <w:trPr>
          <w:trHeight w:val="620"/>
        </w:trPr>
        <w:tc>
          <w:tcPr>
            <w:tcW w:w="5070" w:type="dxa"/>
          </w:tcPr>
          <w:p w14:paraId="72F2A39C" w14:textId="77777777" w:rsidR="00FE7086" w:rsidRDefault="0070536C">
            <w:pPr>
              <w:keepNext/>
              <w:rPr>
                <w:b/>
              </w:rPr>
            </w:pPr>
            <w:r>
              <w:rPr>
                <w:b/>
              </w:rPr>
              <w:t>Do any other Business Units/Service Areas need to be included?</w:t>
            </w:r>
          </w:p>
        </w:tc>
        <w:tc>
          <w:tcPr>
            <w:tcW w:w="9072" w:type="dxa"/>
          </w:tcPr>
          <w:p w14:paraId="72F2A39D" w14:textId="6F08CF25" w:rsidR="00FE7086" w:rsidRDefault="00DC750C">
            <w:r>
              <w:t xml:space="preserve">Business </w:t>
            </w:r>
            <w:r w:rsidR="00F213E2">
              <w:t>I</w:t>
            </w:r>
            <w:r>
              <w:t>ntelligence</w:t>
            </w:r>
            <w:r w:rsidR="00B811C6">
              <w:t>, Comm</w:t>
            </w:r>
            <w:r w:rsidR="00F213E2">
              <w:t>unications, wider Health and Wellbeing Board partners</w:t>
            </w:r>
          </w:p>
        </w:tc>
      </w:tr>
      <w:tr w:rsidR="00FE7086" w14:paraId="72F2A3A1" w14:textId="77777777" w:rsidTr="00FB6998">
        <w:trPr>
          <w:trHeight w:val="416"/>
        </w:trPr>
        <w:tc>
          <w:tcPr>
            <w:tcW w:w="5070" w:type="dxa"/>
          </w:tcPr>
          <w:p w14:paraId="72F2A39F" w14:textId="77777777" w:rsidR="00FE7086" w:rsidRDefault="0070536C">
            <w:pPr>
              <w:keepNext/>
              <w:rPr>
                <w:b/>
              </w:rPr>
            </w:pPr>
            <w:r>
              <w:rPr>
                <w:b/>
              </w:rPr>
              <w:t>Date of assessment</w:t>
            </w:r>
          </w:p>
        </w:tc>
        <w:tc>
          <w:tcPr>
            <w:tcW w:w="9072" w:type="dxa"/>
          </w:tcPr>
          <w:p w14:paraId="72F2A3A0" w14:textId="7444D6BB" w:rsidR="00FE7086" w:rsidRDefault="006C7963" w:rsidP="001B1E6B">
            <w:r>
              <w:t>August</w:t>
            </w:r>
            <w:r w:rsidR="00293F4E">
              <w:t xml:space="preserve"> 2020</w:t>
            </w:r>
          </w:p>
        </w:tc>
      </w:tr>
      <w:tr w:rsidR="00FE7086" w14:paraId="72F2A3A8" w14:textId="77777777">
        <w:trPr>
          <w:trHeight w:val="620"/>
        </w:trPr>
        <w:tc>
          <w:tcPr>
            <w:tcW w:w="5070" w:type="dxa"/>
          </w:tcPr>
          <w:p w14:paraId="72F2A3A2" w14:textId="77777777" w:rsidR="00FE7086" w:rsidRDefault="0070536C">
            <w:pPr>
              <w:rPr>
                <w:b/>
              </w:rPr>
            </w:pPr>
            <w:r>
              <w:rPr>
                <w:b/>
              </w:rPr>
              <w:t>Are any of the outcomes from this assessment likely to result in complaints from existing services users, members of the public and/or employees?</w:t>
            </w:r>
          </w:p>
          <w:p w14:paraId="72F2A3A4" w14:textId="77777777" w:rsidR="00FE7086" w:rsidRDefault="0070536C">
            <w:r>
              <w:rPr>
                <w:i/>
              </w:rPr>
              <w:t xml:space="preserve">If </w:t>
            </w:r>
            <w:r>
              <w:rPr>
                <w:b/>
                <w:i/>
              </w:rPr>
              <w:t>yes</w:t>
            </w:r>
            <w:r>
              <w:rPr>
                <w:i/>
              </w:rPr>
              <w:t xml:space="preserve"> let your Assistant Director and the Customer Relations Team know as soon as possible</w:t>
            </w:r>
          </w:p>
        </w:tc>
        <w:tc>
          <w:tcPr>
            <w:tcW w:w="9072" w:type="dxa"/>
          </w:tcPr>
          <w:p w14:paraId="72F2A3A5" w14:textId="77777777" w:rsidR="00FE7086" w:rsidRDefault="00FE7086">
            <w:pPr>
              <w:jc w:val="center"/>
              <w:rPr>
                <w:b/>
              </w:rPr>
            </w:pPr>
          </w:p>
          <w:p w14:paraId="72F2A3A6" w14:textId="77777777" w:rsidR="00FE7086" w:rsidRDefault="00FE7086">
            <w:pPr>
              <w:jc w:val="center"/>
              <w:rPr>
                <w:b/>
              </w:rPr>
            </w:pPr>
          </w:p>
          <w:p w14:paraId="72F2A3A7" w14:textId="77777777" w:rsidR="00FE7086" w:rsidRDefault="0070536C">
            <w:pPr>
              <w:jc w:val="center"/>
            </w:pPr>
            <w:r>
              <w:rPr>
                <w:b/>
              </w:rPr>
              <w:t>No</w:t>
            </w:r>
          </w:p>
        </w:tc>
      </w:tr>
    </w:tbl>
    <w:p w14:paraId="72F2A3A9" w14:textId="77777777" w:rsidR="00FE7086" w:rsidRDefault="0070536C">
      <w:pPr>
        <w:tabs>
          <w:tab w:val="left" w:pos="2506"/>
        </w:tabs>
      </w:pPr>
      <w:r>
        <w:tab/>
      </w:r>
    </w:p>
    <w:p w14:paraId="72F2A3AA" w14:textId="77777777" w:rsidR="00FE7086" w:rsidRDefault="00FE7086"/>
    <w:p w14:paraId="72F2A3AB" w14:textId="77777777" w:rsidR="00FB6998" w:rsidRDefault="00FB6998">
      <w:pPr>
        <w:rPr>
          <w:b/>
        </w:rPr>
      </w:pPr>
      <w:r>
        <w:rPr>
          <w:b/>
        </w:rPr>
        <w:br w:type="page"/>
      </w:r>
    </w:p>
    <w:p w14:paraId="72F2A3AC" w14:textId="77777777" w:rsidR="00FE7086" w:rsidRDefault="0070536C">
      <w:pPr>
        <w:jc w:val="center"/>
        <w:rPr>
          <w:b/>
        </w:rPr>
      </w:pPr>
      <w:r>
        <w:rPr>
          <w:b/>
        </w:rPr>
        <w:lastRenderedPageBreak/>
        <w:t>Details of service/policy/strategy/practice/plan</w:t>
      </w:r>
    </w:p>
    <w:tbl>
      <w:tblPr>
        <w:tblStyle w:val="a0"/>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4"/>
        <w:gridCol w:w="252"/>
        <w:gridCol w:w="9356"/>
      </w:tblGrid>
      <w:tr w:rsidR="00FE7086" w14:paraId="72F2A3AE" w14:textId="77777777" w:rsidTr="4C29A0A8">
        <w:trPr>
          <w:trHeight w:val="400"/>
        </w:trPr>
        <w:tc>
          <w:tcPr>
            <w:tcW w:w="14142" w:type="dxa"/>
            <w:gridSpan w:val="3"/>
            <w:shd w:val="clear" w:color="auto" w:fill="D9D9D9" w:themeFill="background1" w:themeFillShade="D9"/>
          </w:tcPr>
          <w:p w14:paraId="72F2A3AD" w14:textId="77777777" w:rsidR="00FE7086" w:rsidRDefault="0070536C">
            <w:pPr>
              <w:jc w:val="center"/>
              <w:rPr>
                <w:b/>
                <w:color w:val="000000"/>
              </w:rPr>
            </w:pPr>
            <w:r>
              <w:rPr>
                <w:b/>
                <w:color w:val="000000"/>
              </w:rPr>
              <w:t>Scoping and Defining</w:t>
            </w:r>
          </w:p>
        </w:tc>
      </w:tr>
      <w:tr w:rsidR="00FE7086" w14:paraId="72F2A3B2" w14:textId="77777777" w:rsidTr="4C29A0A8">
        <w:trPr>
          <w:trHeight w:val="6130"/>
        </w:trPr>
        <w:tc>
          <w:tcPr>
            <w:tcW w:w="4786" w:type="dxa"/>
            <w:gridSpan w:val="2"/>
          </w:tcPr>
          <w:p w14:paraId="72F2A3AF" w14:textId="77777777" w:rsidR="00FE7086" w:rsidRDefault="00FE7086">
            <w:pPr>
              <w:pBdr>
                <w:top w:val="nil"/>
                <w:left w:val="nil"/>
                <w:bottom w:val="nil"/>
                <w:right w:val="nil"/>
                <w:between w:val="nil"/>
              </w:pBdr>
              <w:spacing w:line="276" w:lineRule="auto"/>
              <w:ind w:left="720"/>
            </w:pPr>
          </w:p>
          <w:p w14:paraId="72F2A3B0" w14:textId="3FFFA1B9" w:rsidR="00FE7086" w:rsidRDefault="0070536C">
            <w:pPr>
              <w:numPr>
                <w:ilvl w:val="0"/>
                <w:numId w:val="3"/>
              </w:numPr>
              <w:pBdr>
                <w:top w:val="nil"/>
                <w:left w:val="nil"/>
                <w:bottom w:val="nil"/>
                <w:right w:val="nil"/>
                <w:between w:val="nil"/>
              </w:pBdr>
              <w:spacing w:after="200" w:line="276" w:lineRule="auto"/>
            </w:pPr>
            <w:r>
              <w:rPr>
                <w:color w:val="000000"/>
              </w:rPr>
              <w:t>What are the aims, objectives and outcomes of the service/policy/</w:t>
            </w:r>
            <w:r w:rsidR="00F213E2">
              <w:rPr>
                <w:color w:val="000000"/>
              </w:rPr>
              <w:t xml:space="preserve"> </w:t>
            </w:r>
            <w:r>
              <w:rPr>
                <w:color w:val="000000"/>
              </w:rPr>
              <w:t>strategy/practice/plan?</w:t>
            </w:r>
          </w:p>
        </w:tc>
        <w:tc>
          <w:tcPr>
            <w:tcW w:w="9356" w:type="dxa"/>
          </w:tcPr>
          <w:p w14:paraId="4DAADC72" w14:textId="29BDF8FF" w:rsidR="004D1A36" w:rsidRPr="00187F0C" w:rsidRDefault="001668A3" w:rsidP="00794DE4">
            <w:pPr>
              <w:rPr>
                <w:sz w:val="22"/>
                <w:szCs w:val="22"/>
              </w:rPr>
            </w:pPr>
            <w:r w:rsidRPr="4C29A0A8">
              <w:rPr>
                <w:sz w:val="22"/>
                <w:szCs w:val="22"/>
              </w:rPr>
              <w:t xml:space="preserve">The </w:t>
            </w:r>
            <w:r w:rsidR="00794DE4" w:rsidRPr="4C29A0A8">
              <w:rPr>
                <w:sz w:val="22"/>
                <w:szCs w:val="22"/>
              </w:rPr>
              <w:t xml:space="preserve">Health and Wellbeing Board </w:t>
            </w:r>
            <w:r w:rsidRPr="4C29A0A8">
              <w:rPr>
                <w:sz w:val="22"/>
                <w:szCs w:val="22"/>
              </w:rPr>
              <w:t>has</w:t>
            </w:r>
            <w:r w:rsidR="004D1A36" w:rsidRPr="4C29A0A8">
              <w:rPr>
                <w:sz w:val="22"/>
                <w:szCs w:val="22"/>
              </w:rPr>
              <w:t xml:space="preserve"> a statutory duty to produce and deliver a Health and Wellbeing Strategy for Warwickshire to help improve health and wellbeing in the local population and reduce health inequalities. </w:t>
            </w:r>
            <w:r w:rsidR="007536FA" w:rsidRPr="4C29A0A8">
              <w:rPr>
                <w:sz w:val="22"/>
                <w:szCs w:val="22"/>
              </w:rPr>
              <w:t xml:space="preserve">The </w:t>
            </w:r>
            <w:r w:rsidR="00170366" w:rsidRPr="4C29A0A8">
              <w:rPr>
                <w:sz w:val="22"/>
                <w:szCs w:val="22"/>
              </w:rPr>
              <w:t>s</w:t>
            </w:r>
            <w:r w:rsidR="007536FA" w:rsidRPr="4C29A0A8">
              <w:rPr>
                <w:sz w:val="22"/>
                <w:szCs w:val="22"/>
              </w:rPr>
              <w:t>trategy outlines the vision</w:t>
            </w:r>
            <w:r w:rsidR="007E6E91" w:rsidRPr="4C29A0A8">
              <w:rPr>
                <w:sz w:val="22"/>
                <w:szCs w:val="22"/>
              </w:rPr>
              <w:t>, objectives and priorities based on the findings of the Joint Strategic Needs Assessment</w:t>
            </w:r>
            <w:r w:rsidR="00F60BBE" w:rsidRPr="4C29A0A8">
              <w:rPr>
                <w:sz w:val="22"/>
                <w:szCs w:val="22"/>
              </w:rPr>
              <w:t xml:space="preserve"> </w:t>
            </w:r>
            <w:r w:rsidR="00744602" w:rsidRPr="4C29A0A8">
              <w:rPr>
                <w:sz w:val="22"/>
                <w:szCs w:val="22"/>
              </w:rPr>
              <w:t xml:space="preserve">(JSNA) </w:t>
            </w:r>
            <w:r w:rsidR="00F60BBE" w:rsidRPr="4C29A0A8">
              <w:rPr>
                <w:sz w:val="22"/>
                <w:szCs w:val="22"/>
              </w:rPr>
              <w:t>including performance data</w:t>
            </w:r>
            <w:r w:rsidR="00744602" w:rsidRPr="4C29A0A8">
              <w:rPr>
                <w:sz w:val="22"/>
                <w:szCs w:val="22"/>
              </w:rPr>
              <w:t xml:space="preserve"> and</w:t>
            </w:r>
            <w:r w:rsidR="00F60BBE" w:rsidRPr="4C29A0A8">
              <w:rPr>
                <w:sz w:val="22"/>
                <w:szCs w:val="22"/>
              </w:rPr>
              <w:t xml:space="preserve"> feedback from communities and senior leaders across the health and care system.</w:t>
            </w:r>
            <w:r w:rsidR="00DD416F" w:rsidRPr="4C29A0A8">
              <w:rPr>
                <w:sz w:val="22"/>
                <w:szCs w:val="22"/>
              </w:rPr>
              <w:t xml:space="preserve"> The objectives </w:t>
            </w:r>
            <w:r w:rsidR="00170366" w:rsidRPr="4C29A0A8">
              <w:rPr>
                <w:sz w:val="22"/>
                <w:szCs w:val="22"/>
              </w:rPr>
              <w:t xml:space="preserve">of the refreshed strategy need to be reflected in the commissioning plans of </w:t>
            </w:r>
            <w:r w:rsidR="00F663B1" w:rsidRPr="4C29A0A8">
              <w:rPr>
                <w:sz w:val="22"/>
                <w:szCs w:val="22"/>
              </w:rPr>
              <w:t xml:space="preserve">Warwickshire </w:t>
            </w:r>
            <w:r w:rsidR="00170366" w:rsidRPr="4C29A0A8">
              <w:rPr>
                <w:sz w:val="22"/>
                <w:szCs w:val="22"/>
              </w:rPr>
              <w:t xml:space="preserve">County Council </w:t>
            </w:r>
            <w:r w:rsidR="00F663B1" w:rsidRPr="4C29A0A8">
              <w:rPr>
                <w:sz w:val="22"/>
                <w:szCs w:val="22"/>
              </w:rPr>
              <w:t>(WCC)</w:t>
            </w:r>
            <w:r w:rsidR="001B0F33" w:rsidRPr="4C29A0A8">
              <w:rPr>
                <w:sz w:val="22"/>
                <w:szCs w:val="22"/>
              </w:rPr>
              <w:t xml:space="preserve"> </w:t>
            </w:r>
            <w:r w:rsidR="7C858001" w:rsidRPr="4C29A0A8">
              <w:rPr>
                <w:sz w:val="22"/>
                <w:szCs w:val="22"/>
              </w:rPr>
              <w:t>and</w:t>
            </w:r>
            <w:r w:rsidR="001B0F33" w:rsidRPr="4C29A0A8">
              <w:rPr>
                <w:sz w:val="22"/>
                <w:szCs w:val="22"/>
              </w:rPr>
              <w:t xml:space="preserve"> the wider Health and Care Partnership.</w:t>
            </w:r>
          </w:p>
          <w:p w14:paraId="2809350C" w14:textId="77777777" w:rsidR="004D1A36" w:rsidRPr="00187F0C" w:rsidRDefault="004D1A36" w:rsidP="00794DE4">
            <w:pPr>
              <w:rPr>
                <w:sz w:val="22"/>
                <w:szCs w:val="22"/>
              </w:rPr>
            </w:pPr>
          </w:p>
          <w:p w14:paraId="1BFAE6A0" w14:textId="7DD9F3CD" w:rsidR="00277DC4" w:rsidRPr="00187F0C" w:rsidRDefault="00794DE4" w:rsidP="00794DE4">
            <w:pPr>
              <w:rPr>
                <w:sz w:val="22"/>
                <w:szCs w:val="22"/>
              </w:rPr>
            </w:pPr>
            <w:r w:rsidRPr="00187F0C">
              <w:rPr>
                <w:sz w:val="22"/>
                <w:szCs w:val="22"/>
              </w:rPr>
              <w:t xml:space="preserve">Generally, health in Warwickshire is good overall but it varies </w:t>
            </w:r>
            <w:r w:rsidR="004D1A36" w:rsidRPr="00187F0C">
              <w:rPr>
                <w:sz w:val="22"/>
                <w:szCs w:val="22"/>
              </w:rPr>
              <w:t xml:space="preserve">widely </w:t>
            </w:r>
            <w:r w:rsidRPr="00187F0C">
              <w:rPr>
                <w:sz w:val="22"/>
                <w:szCs w:val="22"/>
              </w:rPr>
              <w:t>across the county and we are facing significant challenges over the next five years</w:t>
            </w:r>
            <w:r w:rsidR="004D1A36" w:rsidRPr="00187F0C">
              <w:rPr>
                <w:sz w:val="22"/>
                <w:szCs w:val="22"/>
              </w:rPr>
              <w:t xml:space="preserve"> with an aging population and rising demand for services</w:t>
            </w:r>
            <w:r w:rsidRPr="00187F0C">
              <w:rPr>
                <w:sz w:val="22"/>
                <w:szCs w:val="22"/>
              </w:rPr>
              <w:t xml:space="preserve">. </w:t>
            </w:r>
            <w:r w:rsidR="00C43C3D" w:rsidRPr="00187F0C">
              <w:rPr>
                <w:sz w:val="22"/>
                <w:szCs w:val="22"/>
              </w:rPr>
              <w:t xml:space="preserve">We are </w:t>
            </w:r>
            <w:r w:rsidR="001B4420" w:rsidRPr="00187F0C">
              <w:rPr>
                <w:sz w:val="22"/>
                <w:szCs w:val="22"/>
              </w:rPr>
              <w:t>proposing</w:t>
            </w:r>
            <w:r w:rsidR="00ED2B35" w:rsidRPr="00187F0C">
              <w:rPr>
                <w:sz w:val="22"/>
                <w:szCs w:val="22"/>
              </w:rPr>
              <w:t xml:space="preserve"> a vision of ‘Living Well in Warwickshire’ and </w:t>
            </w:r>
            <w:r w:rsidR="00C43C3D" w:rsidRPr="00187F0C">
              <w:rPr>
                <w:sz w:val="22"/>
                <w:szCs w:val="22"/>
              </w:rPr>
              <w:t xml:space="preserve">three high level </w:t>
            </w:r>
            <w:r w:rsidR="001B4420" w:rsidRPr="00187F0C">
              <w:rPr>
                <w:sz w:val="22"/>
                <w:szCs w:val="22"/>
              </w:rPr>
              <w:t>strategic outcomes</w:t>
            </w:r>
            <w:r w:rsidR="00277DC4" w:rsidRPr="00187F0C">
              <w:rPr>
                <w:sz w:val="22"/>
                <w:szCs w:val="22"/>
              </w:rPr>
              <w:t>:</w:t>
            </w:r>
          </w:p>
          <w:p w14:paraId="036E529C" w14:textId="77777777" w:rsidR="00277DC4" w:rsidRPr="00187F0C" w:rsidRDefault="00277DC4" w:rsidP="00822BEE">
            <w:pPr>
              <w:numPr>
                <w:ilvl w:val="0"/>
                <w:numId w:val="11"/>
              </w:numPr>
              <w:textAlignment w:val="baseline"/>
              <w:rPr>
                <w:sz w:val="22"/>
                <w:szCs w:val="22"/>
              </w:rPr>
            </w:pPr>
            <w:r w:rsidRPr="00187F0C">
              <w:rPr>
                <w:sz w:val="22"/>
                <w:szCs w:val="22"/>
              </w:rPr>
              <w:t>People will lead a healthy and independent life. </w:t>
            </w:r>
          </w:p>
          <w:p w14:paraId="3A63CCEA" w14:textId="77777777" w:rsidR="00277DC4" w:rsidRPr="00187F0C" w:rsidRDefault="00277DC4" w:rsidP="00822BEE">
            <w:pPr>
              <w:numPr>
                <w:ilvl w:val="0"/>
                <w:numId w:val="11"/>
              </w:numPr>
              <w:textAlignment w:val="baseline"/>
              <w:rPr>
                <w:sz w:val="22"/>
                <w:szCs w:val="22"/>
              </w:rPr>
            </w:pPr>
            <w:r w:rsidRPr="00187F0C">
              <w:rPr>
                <w:sz w:val="22"/>
                <w:szCs w:val="22"/>
              </w:rPr>
              <w:t>People will be part of a strong community. </w:t>
            </w:r>
          </w:p>
          <w:p w14:paraId="21B90739" w14:textId="77777777" w:rsidR="00277DC4" w:rsidRPr="00187F0C" w:rsidRDefault="00277DC4" w:rsidP="00822BEE">
            <w:pPr>
              <w:numPr>
                <w:ilvl w:val="0"/>
                <w:numId w:val="11"/>
              </w:numPr>
              <w:textAlignment w:val="baseline"/>
              <w:rPr>
                <w:sz w:val="22"/>
                <w:szCs w:val="22"/>
              </w:rPr>
            </w:pPr>
            <w:r w:rsidRPr="00187F0C">
              <w:rPr>
                <w:sz w:val="22"/>
                <w:szCs w:val="22"/>
              </w:rPr>
              <w:t>People will experience effective and sustainable services. </w:t>
            </w:r>
          </w:p>
          <w:p w14:paraId="5256E3DB" w14:textId="77777777" w:rsidR="00277DC4" w:rsidRPr="00187F0C" w:rsidRDefault="00277DC4" w:rsidP="00277DC4">
            <w:pPr>
              <w:rPr>
                <w:sz w:val="20"/>
                <w:szCs w:val="20"/>
              </w:rPr>
            </w:pPr>
          </w:p>
          <w:p w14:paraId="71E8F5E6" w14:textId="303BE826" w:rsidR="00794DE4" w:rsidRPr="00187F0C" w:rsidRDefault="00C545CA" w:rsidP="00DD2960">
            <w:pPr>
              <w:rPr>
                <w:sz w:val="22"/>
                <w:szCs w:val="22"/>
              </w:rPr>
            </w:pPr>
            <w:r w:rsidRPr="00187F0C">
              <w:rPr>
                <w:sz w:val="22"/>
                <w:szCs w:val="22"/>
              </w:rPr>
              <w:t xml:space="preserve">We are also </w:t>
            </w:r>
            <w:r w:rsidR="00ED2B35" w:rsidRPr="00187F0C">
              <w:rPr>
                <w:sz w:val="22"/>
                <w:szCs w:val="22"/>
              </w:rPr>
              <w:t>proposing two short term areas of focus</w:t>
            </w:r>
            <w:r w:rsidR="00D47094" w:rsidRPr="00187F0C">
              <w:rPr>
                <w:sz w:val="22"/>
                <w:szCs w:val="22"/>
              </w:rPr>
              <w:t xml:space="preserve"> in the next 12-18 months</w:t>
            </w:r>
            <w:r w:rsidR="006A1C98" w:rsidRPr="00187F0C">
              <w:rPr>
                <w:sz w:val="22"/>
                <w:szCs w:val="22"/>
              </w:rPr>
              <w:t>:</w:t>
            </w:r>
          </w:p>
          <w:p w14:paraId="055CBB7E" w14:textId="5C6A50E4" w:rsidR="00294F80" w:rsidRPr="00187F0C" w:rsidRDefault="00294F80" w:rsidP="00294F80">
            <w:pPr>
              <w:pStyle w:val="ListParagraph"/>
              <w:numPr>
                <w:ilvl w:val="0"/>
                <w:numId w:val="10"/>
              </w:numPr>
              <w:rPr>
                <w:sz w:val="22"/>
                <w:szCs w:val="22"/>
              </w:rPr>
            </w:pPr>
            <w:r w:rsidRPr="00187F0C">
              <w:rPr>
                <w:sz w:val="22"/>
                <w:szCs w:val="22"/>
              </w:rPr>
              <w:t>Help our children have the best start in life</w:t>
            </w:r>
          </w:p>
          <w:p w14:paraId="75AE1ACF" w14:textId="7E960898" w:rsidR="00294F80" w:rsidRPr="00187F0C" w:rsidRDefault="00294F80" w:rsidP="00294F80">
            <w:pPr>
              <w:pStyle w:val="ListParagraph"/>
              <w:numPr>
                <w:ilvl w:val="0"/>
                <w:numId w:val="10"/>
              </w:numPr>
              <w:rPr>
                <w:sz w:val="22"/>
                <w:szCs w:val="22"/>
              </w:rPr>
            </w:pPr>
            <w:r w:rsidRPr="00187F0C">
              <w:rPr>
                <w:sz w:val="22"/>
                <w:szCs w:val="22"/>
              </w:rPr>
              <w:t>Help people improve their mental health and wellbeing, particularly around prevention and early intervention in our communities.</w:t>
            </w:r>
          </w:p>
          <w:p w14:paraId="6AA16E32" w14:textId="77777777" w:rsidR="00ED2B35" w:rsidRPr="00187F0C" w:rsidRDefault="00ED2B35" w:rsidP="00294F80">
            <w:pPr>
              <w:pStyle w:val="paragraph"/>
              <w:spacing w:before="0" w:beforeAutospacing="0" w:after="0" w:afterAutospacing="0"/>
              <w:ind w:left="360"/>
              <w:textAlignment w:val="baseline"/>
              <w:rPr>
                <w:rFonts w:ascii="Arial" w:hAnsi="Arial" w:cs="Arial"/>
                <w:sz w:val="20"/>
                <w:szCs w:val="20"/>
              </w:rPr>
            </w:pPr>
          </w:p>
          <w:p w14:paraId="72F2A3B1" w14:textId="7863D23F" w:rsidR="00FE7086" w:rsidRPr="006D12E6" w:rsidRDefault="00D47094">
            <w:r w:rsidRPr="00187F0C">
              <w:rPr>
                <w:sz w:val="22"/>
                <w:szCs w:val="22"/>
              </w:rPr>
              <w:t>We plan to carry out</w:t>
            </w:r>
            <w:r w:rsidR="007E515C" w:rsidRPr="00187F0C">
              <w:rPr>
                <w:sz w:val="22"/>
                <w:szCs w:val="22"/>
              </w:rPr>
              <w:t xml:space="preserve"> </w:t>
            </w:r>
            <w:r w:rsidR="005449DF" w:rsidRPr="00187F0C">
              <w:rPr>
                <w:sz w:val="22"/>
                <w:szCs w:val="22"/>
              </w:rPr>
              <w:t xml:space="preserve">public </w:t>
            </w:r>
            <w:r w:rsidR="007E515C" w:rsidRPr="00187F0C">
              <w:rPr>
                <w:sz w:val="22"/>
                <w:szCs w:val="22"/>
              </w:rPr>
              <w:t xml:space="preserve">consultation </w:t>
            </w:r>
            <w:r w:rsidR="005449DF" w:rsidRPr="00187F0C">
              <w:rPr>
                <w:sz w:val="22"/>
                <w:szCs w:val="22"/>
              </w:rPr>
              <w:t xml:space="preserve">and engagement </w:t>
            </w:r>
            <w:r w:rsidR="007E515C" w:rsidRPr="00187F0C">
              <w:rPr>
                <w:sz w:val="22"/>
                <w:szCs w:val="22"/>
              </w:rPr>
              <w:t xml:space="preserve">to </w:t>
            </w:r>
            <w:r w:rsidR="004D1A36" w:rsidRPr="00187F0C">
              <w:rPr>
                <w:sz w:val="22"/>
                <w:szCs w:val="22"/>
              </w:rPr>
              <w:t>help shape the</w:t>
            </w:r>
            <w:r w:rsidR="007E515C" w:rsidRPr="00187F0C">
              <w:rPr>
                <w:sz w:val="22"/>
                <w:szCs w:val="22"/>
              </w:rPr>
              <w:t xml:space="preserve"> priorities and our approach to deliver</w:t>
            </w:r>
            <w:r w:rsidR="004D1A36" w:rsidRPr="00187F0C">
              <w:rPr>
                <w:sz w:val="22"/>
                <w:szCs w:val="22"/>
              </w:rPr>
              <w:t>ing</w:t>
            </w:r>
            <w:r w:rsidR="007E515C" w:rsidRPr="00187F0C">
              <w:rPr>
                <w:sz w:val="22"/>
                <w:szCs w:val="22"/>
              </w:rPr>
              <w:t xml:space="preserve"> </w:t>
            </w:r>
            <w:r w:rsidR="004D1A36" w:rsidRPr="00187F0C">
              <w:rPr>
                <w:sz w:val="22"/>
                <w:szCs w:val="22"/>
              </w:rPr>
              <w:t xml:space="preserve">the </w:t>
            </w:r>
            <w:r w:rsidR="007E515C" w:rsidRPr="00187F0C">
              <w:rPr>
                <w:sz w:val="22"/>
                <w:szCs w:val="22"/>
              </w:rPr>
              <w:t xml:space="preserve">vision of ‘Living Well in Warwickshire’. We would like to hear </w:t>
            </w:r>
            <w:r w:rsidR="00A9750E" w:rsidRPr="00187F0C">
              <w:rPr>
                <w:sz w:val="22"/>
                <w:szCs w:val="22"/>
              </w:rPr>
              <w:t>residents</w:t>
            </w:r>
            <w:r w:rsidR="004D1A36" w:rsidRPr="00187F0C">
              <w:rPr>
                <w:sz w:val="22"/>
                <w:szCs w:val="22"/>
              </w:rPr>
              <w:t>’</w:t>
            </w:r>
            <w:r w:rsidR="007E515C" w:rsidRPr="00187F0C">
              <w:rPr>
                <w:sz w:val="22"/>
                <w:szCs w:val="22"/>
              </w:rPr>
              <w:t xml:space="preserve"> views on this</w:t>
            </w:r>
            <w:r w:rsidR="004D1A36" w:rsidRPr="00187F0C">
              <w:rPr>
                <w:sz w:val="22"/>
                <w:szCs w:val="22"/>
              </w:rPr>
              <w:t>.</w:t>
            </w:r>
          </w:p>
        </w:tc>
      </w:tr>
      <w:tr w:rsidR="00FE7086" w14:paraId="72F2A3B7" w14:textId="77777777" w:rsidTr="4C29A0A8">
        <w:trPr>
          <w:trHeight w:val="316"/>
        </w:trPr>
        <w:tc>
          <w:tcPr>
            <w:tcW w:w="4786" w:type="dxa"/>
            <w:gridSpan w:val="2"/>
          </w:tcPr>
          <w:p w14:paraId="72F2A3B3" w14:textId="77777777" w:rsidR="00FE7086" w:rsidRDefault="00FE7086">
            <w:pPr>
              <w:pBdr>
                <w:top w:val="nil"/>
                <w:left w:val="nil"/>
                <w:bottom w:val="nil"/>
                <w:right w:val="nil"/>
                <w:between w:val="nil"/>
              </w:pBdr>
              <w:ind w:left="720"/>
              <w:rPr>
                <w:color w:val="000000"/>
              </w:rPr>
            </w:pPr>
          </w:p>
          <w:p w14:paraId="72F2A3B4" w14:textId="77777777" w:rsidR="00FE7086" w:rsidRDefault="0070536C">
            <w:pPr>
              <w:numPr>
                <w:ilvl w:val="0"/>
                <w:numId w:val="3"/>
              </w:numPr>
              <w:pBdr>
                <w:top w:val="nil"/>
                <w:left w:val="nil"/>
                <w:bottom w:val="nil"/>
                <w:right w:val="nil"/>
                <w:between w:val="nil"/>
              </w:pBdr>
            </w:pPr>
            <w:r>
              <w:rPr>
                <w:color w:val="000000"/>
              </w:rPr>
              <w:t>Who are the customers?</w:t>
            </w:r>
          </w:p>
        </w:tc>
        <w:tc>
          <w:tcPr>
            <w:tcW w:w="9356" w:type="dxa"/>
          </w:tcPr>
          <w:p w14:paraId="72F2A3B5" w14:textId="77777777" w:rsidR="00FE7086" w:rsidRPr="006D12E6" w:rsidRDefault="00FE7086"/>
          <w:p w14:paraId="72F2A3B6" w14:textId="77777777" w:rsidR="00FE7086" w:rsidRPr="006D12E6" w:rsidRDefault="007A760A" w:rsidP="00DC2887">
            <w:r w:rsidRPr="00187F0C">
              <w:rPr>
                <w:sz w:val="22"/>
                <w:szCs w:val="22"/>
              </w:rPr>
              <w:t>Residents and local communities in Warwickshire</w:t>
            </w:r>
          </w:p>
        </w:tc>
      </w:tr>
      <w:tr w:rsidR="00FE7086" w14:paraId="72F2A3BB" w14:textId="77777777" w:rsidTr="4C29A0A8">
        <w:trPr>
          <w:trHeight w:val="980"/>
        </w:trPr>
        <w:tc>
          <w:tcPr>
            <w:tcW w:w="4786" w:type="dxa"/>
            <w:gridSpan w:val="2"/>
          </w:tcPr>
          <w:p w14:paraId="72F2A3B8" w14:textId="77777777" w:rsidR="00FE7086" w:rsidRDefault="00FE7086">
            <w:pPr>
              <w:pBdr>
                <w:top w:val="nil"/>
                <w:left w:val="nil"/>
                <w:bottom w:val="nil"/>
                <w:right w:val="nil"/>
                <w:between w:val="nil"/>
              </w:pBdr>
              <w:ind w:left="720"/>
              <w:rPr>
                <w:color w:val="000000"/>
              </w:rPr>
            </w:pPr>
          </w:p>
          <w:p w14:paraId="72F2A3B9" w14:textId="77777777" w:rsidR="00FE7086" w:rsidRDefault="0070536C">
            <w:pPr>
              <w:numPr>
                <w:ilvl w:val="0"/>
                <w:numId w:val="3"/>
              </w:numPr>
              <w:pBdr>
                <w:top w:val="nil"/>
                <w:left w:val="nil"/>
                <w:bottom w:val="nil"/>
                <w:right w:val="nil"/>
                <w:between w:val="nil"/>
              </w:pBdr>
            </w:pPr>
            <w:r>
              <w:rPr>
                <w:color w:val="000000"/>
              </w:rPr>
              <w:t>How has equality been considered in the development or review so far?</w:t>
            </w:r>
          </w:p>
        </w:tc>
        <w:tc>
          <w:tcPr>
            <w:tcW w:w="9356" w:type="dxa"/>
          </w:tcPr>
          <w:p w14:paraId="6B269371" w14:textId="71F52859" w:rsidR="00FE7086" w:rsidRPr="00AD531A" w:rsidRDefault="0070536C" w:rsidP="00A836E6">
            <w:pPr>
              <w:rPr>
                <w:sz w:val="22"/>
                <w:szCs w:val="22"/>
              </w:rPr>
            </w:pPr>
            <w:r w:rsidRPr="00AD531A">
              <w:rPr>
                <w:sz w:val="22"/>
                <w:szCs w:val="22"/>
              </w:rPr>
              <w:t>Equality is a key consideration in</w:t>
            </w:r>
            <w:r w:rsidR="00E52B17" w:rsidRPr="00AD531A">
              <w:rPr>
                <w:sz w:val="22"/>
                <w:szCs w:val="22"/>
              </w:rPr>
              <w:t xml:space="preserve"> the development of this</w:t>
            </w:r>
            <w:r w:rsidR="00A9750E" w:rsidRPr="00AD531A">
              <w:rPr>
                <w:sz w:val="22"/>
                <w:szCs w:val="22"/>
              </w:rPr>
              <w:t xml:space="preserve"> consultation</w:t>
            </w:r>
            <w:r w:rsidR="004D1A36" w:rsidRPr="00AD531A">
              <w:rPr>
                <w:sz w:val="22"/>
                <w:szCs w:val="22"/>
              </w:rPr>
              <w:t xml:space="preserve"> and </w:t>
            </w:r>
            <w:r w:rsidR="0042744C" w:rsidRPr="00AD531A">
              <w:rPr>
                <w:sz w:val="22"/>
                <w:szCs w:val="22"/>
              </w:rPr>
              <w:t>achi</w:t>
            </w:r>
            <w:r w:rsidR="0061526A" w:rsidRPr="00AD531A">
              <w:rPr>
                <w:sz w:val="22"/>
                <w:szCs w:val="22"/>
              </w:rPr>
              <w:t>ev</w:t>
            </w:r>
            <w:r w:rsidR="004D1A36" w:rsidRPr="00AD531A">
              <w:rPr>
                <w:sz w:val="22"/>
                <w:szCs w:val="22"/>
              </w:rPr>
              <w:t>ing</w:t>
            </w:r>
            <w:r w:rsidR="0061526A" w:rsidRPr="00AD531A">
              <w:rPr>
                <w:sz w:val="22"/>
                <w:szCs w:val="22"/>
              </w:rPr>
              <w:t xml:space="preserve"> the vision that </w:t>
            </w:r>
            <w:r w:rsidR="003C4B88" w:rsidRPr="00AD531A">
              <w:rPr>
                <w:sz w:val="22"/>
                <w:szCs w:val="22"/>
              </w:rPr>
              <w:t xml:space="preserve">people and communities </w:t>
            </w:r>
            <w:r w:rsidR="004D1A36" w:rsidRPr="00AD531A">
              <w:rPr>
                <w:sz w:val="22"/>
                <w:szCs w:val="22"/>
              </w:rPr>
              <w:t>are</w:t>
            </w:r>
            <w:r w:rsidR="003C4B88" w:rsidRPr="00AD531A">
              <w:rPr>
                <w:sz w:val="22"/>
                <w:szCs w:val="22"/>
              </w:rPr>
              <w:t xml:space="preserve"> </w:t>
            </w:r>
            <w:r w:rsidR="001B0F33">
              <w:rPr>
                <w:sz w:val="22"/>
                <w:szCs w:val="22"/>
              </w:rPr>
              <w:t>l</w:t>
            </w:r>
            <w:r w:rsidR="003C4B88" w:rsidRPr="00AD531A">
              <w:rPr>
                <w:sz w:val="22"/>
                <w:szCs w:val="22"/>
              </w:rPr>
              <w:t>iv</w:t>
            </w:r>
            <w:r w:rsidR="004D1A36" w:rsidRPr="00AD531A">
              <w:rPr>
                <w:sz w:val="22"/>
                <w:szCs w:val="22"/>
              </w:rPr>
              <w:t>ing</w:t>
            </w:r>
            <w:r w:rsidR="003C4B88" w:rsidRPr="00AD531A">
              <w:rPr>
                <w:sz w:val="22"/>
                <w:szCs w:val="22"/>
              </w:rPr>
              <w:t xml:space="preserve"> well in Warwickshire</w:t>
            </w:r>
            <w:r w:rsidR="007C0AFC" w:rsidRPr="00AD531A">
              <w:rPr>
                <w:sz w:val="22"/>
                <w:szCs w:val="22"/>
              </w:rPr>
              <w:t>.</w:t>
            </w:r>
          </w:p>
          <w:p w14:paraId="1D59575F" w14:textId="77777777" w:rsidR="007C0AFC" w:rsidRPr="00AD531A" w:rsidRDefault="007C0AFC" w:rsidP="00A836E6">
            <w:pPr>
              <w:rPr>
                <w:sz w:val="22"/>
                <w:szCs w:val="22"/>
              </w:rPr>
            </w:pPr>
          </w:p>
          <w:p w14:paraId="79C111E8" w14:textId="47DFBF26" w:rsidR="004906D9" w:rsidRDefault="004D1A36" w:rsidP="00CF0CE0">
            <w:pPr>
              <w:rPr>
                <w:rStyle w:val="normaltextrun"/>
                <w:color w:val="000000"/>
                <w:sz w:val="22"/>
                <w:szCs w:val="22"/>
                <w:shd w:val="clear" w:color="auto" w:fill="FFFFFF"/>
                <w:lang w:val="en-US"/>
              </w:rPr>
            </w:pPr>
            <w:r w:rsidRPr="00AD531A">
              <w:rPr>
                <w:sz w:val="22"/>
                <w:szCs w:val="22"/>
              </w:rPr>
              <w:t>Since 2018</w:t>
            </w:r>
            <w:r w:rsidRPr="00AD531A">
              <w:rPr>
                <w:rStyle w:val="normaltextrun"/>
                <w:color w:val="000000"/>
                <w:sz w:val="22"/>
                <w:szCs w:val="22"/>
                <w:shd w:val="clear" w:color="auto" w:fill="FFFFFF"/>
                <w:lang w:val="en-US"/>
              </w:rPr>
              <w:t xml:space="preserve"> we have been building our understanding of needs and assets across the county by looking at a wide range of evidence and listening to</w:t>
            </w:r>
            <w:r w:rsidR="00CF0CE0" w:rsidRPr="00AD531A">
              <w:rPr>
                <w:rStyle w:val="normaltextrun"/>
                <w:color w:val="000000"/>
                <w:sz w:val="22"/>
                <w:szCs w:val="22"/>
                <w:shd w:val="clear" w:color="auto" w:fill="FFFFFF"/>
                <w:lang w:val="en-US"/>
              </w:rPr>
              <w:t xml:space="preserve"> as many</w:t>
            </w:r>
            <w:r w:rsidRPr="00AD531A">
              <w:rPr>
                <w:rStyle w:val="normaltextrun"/>
                <w:color w:val="000000"/>
                <w:sz w:val="22"/>
                <w:szCs w:val="22"/>
                <w:shd w:val="clear" w:color="auto" w:fill="FFFFFF"/>
                <w:lang w:val="en-US"/>
              </w:rPr>
              <w:t xml:space="preserve"> people</w:t>
            </w:r>
            <w:r w:rsidR="00CF0CE0" w:rsidRPr="00AD531A">
              <w:rPr>
                <w:rStyle w:val="normaltextrun"/>
                <w:color w:val="000000"/>
                <w:sz w:val="22"/>
                <w:szCs w:val="22"/>
                <w:shd w:val="clear" w:color="auto" w:fill="FFFFFF"/>
                <w:lang w:val="en-US"/>
              </w:rPr>
              <w:t xml:space="preserve"> as possible including those with protected characteristics</w:t>
            </w:r>
            <w:r w:rsidRPr="00AD531A">
              <w:rPr>
                <w:rStyle w:val="normaltextrun"/>
                <w:color w:val="000000"/>
                <w:sz w:val="22"/>
                <w:szCs w:val="22"/>
                <w:shd w:val="clear" w:color="auto" w:fill="FFFFFF"/>
                <w:lang w:val="en-US"/>
              </w:rPr>
              <w:t>. We have talked to around 2000 people and 300 community </w:t>
            </w:r>
            <w:r w:rsidRPr="00AD531A">
              <w:rPr>
                <w:rStyle w:val="spellingerror"/>
                <w:color w:val="000000"/>
                <w:sz w:val="22"/>
                <w:szCs w:val="22"/>
                <w:shd w:val="clear" w:color="auto" w:fill="FFFFFF"/>
                <w:lang w:val="en-US"/>
              </w:rPr>
              <w:t>organisations</w:t>
            </w:r>
            <w:r w:rsidRPr="00AD531A">
              <w:rPr>
                <w:rStyle w:val="normaltextrun"/>
                <w:color w:val="000000"/>
                <w:sz w:val="22"/>
                <w:szCs w:val="22"/>
                <w:shd w:val="clear" w:color="auto" w:fill="FFFFFF"/>
                <w:lang w:val="en-US"/>
              </w:rPr>
              <w:t> about key issues as part of our Joint Strategic Needs Assessment (JSNA). We have heard the voice of patients through </w:t>
            </w:r>
            <w:r w:rsidRPr="00AD531A">
              <w:rPr>
                <w:rStyle w:val="spellingerror"/>
                <w:color w:val="000000"/>
                <w:sz w:val="22"/>
                <w:szCs w:val="22"/>
                <w:shd w:val="clear" w:color="auto" w:fill="FFFFFF"/>
                <w:lang w:val="en-US"/>
              </w:rPr>
              <w:t>organisations</w:t>
            </w:r>
            <w:r w:rsidRPr="00AD531A">
              <w:rPr>
                <w:rStyle w:val="normaltextrun"/>
                <w:color w:val="000000"/>
                <w:sz w:val="22"/>
                <w:szCs w:val="22"/>
                <w:shd w:val="clear" w:color="auto" w:fill="FFFFFF"/>
                <w:lang w:val="en-US"/>
              </w:rPr>
              <w:t> such as Healthwatch and the Clinical Commissioning Groups, and talked to groups such as the Youth Parliament, Children in Care Council, and the Equality and Inclusion Partnership (</w:t>
            </w:r>
            <w:proofErr w:type="spellStart"/>
            <w:r w:rsidRPr="00AD531A">
              <w:rPr>
                <w:rStyle w:val="spellingerror"/>
                <w:color w:val="000000"/>
                <w:sz w:val="22"/>
                <w:szCs w:val="22"/>
                <w:shd w:val="clear" w:color="auto" w:fill="FFFFFF"/>
                <w:lang w:val="en-US"/>
              </w:rPr>
              <w:t>EQuiP</w:t>
            </w:r>
            <w:proofErr w:type="spellEnd"/>
            <w:r w:rsidRPr="00AD531A">
              <w:rPr>
                <w:rStyle w:val="normaltextrun"/>
                <w:color w:val="000000"/>
                <w:sz w:val="22"/>
                <w:szCs w:val="22"/>
                <w:shd w:val="clear" w:color="auto" w:fill="FFFFFF"/>
                <w:lang w:val="en-US"/>
              </w:rPr>
              <w:t>) to help identify priorities. </w:t>
            </w:r>
            <w:r w:rsidR="004906D9">
              <w:rPr>
                <w:rStyle w:val="normaltextrun"/>
                <w:color w:val="000000"/>
                <w:sz w:val="22"/>
                <w:szCs w:val="22"/>
                <w:shd w:val="clear" w:color="auto" w:fill="FFFFFF"/>
                <w:lang w:val="en-US"/>
              </w:rPr>
              <w:t xml:space="preserve">We have also used feedback from our Covid-19 residents survey where we heard from over 2,000 Warwickshire residents on how the pandemic had impacted on their health and wellbeing and ability to access services. </w:t>
            </w:r>
          </w:p>
          <w:p w14:paraId="61424FFC" w14:textId="77777777" w:rsidR="004906D9" w:rsidRDefault="004906D9" w:rsidP="00CF0CE0">
            <w:pPr>
              <w:rPr>
                <w:rStyle w:val="normaltextrun"/>
                <w:color w:val="000000"/>
                <w:sz w:val="22"/>
                <w:szCs w:val="22"/>
                <w:shd w:val="clear" w:color="auto" w:fill="FFFFFF"/>
                <w:lang w:val="en-US"/>
              </w:rPr>
            </w:pPr>
          </w:p>
          <w:p w14:paraId="60E4107B" w14:textId="7ED8E125" w:rsidR="00CF0CE0" w:rsidRPr="00AD531A" w:rsidRDefault="00CF0CE0" w:rsidP="00CF0CE0">
            <w:pPr>
              <w:rPr>
                <w:rStyle w:val="normaltextrun"/>
                <w:color w:val="000000"/>
                <w:sz w:val="22"/>
                <w:szCs w:val="22"/>
                <w:shd w:val="clear" w:color="auto" w:fill="FFFFFF"/>
                <w:lang w:val="en-US"/>
              </w:rPr>
            </w:pPr>
            <w:r w:rsidRPr="00AD531A">
              <w:rPr>
                <w:rStyle w:val="normaltextrun"/>
                <w:color w:val="000000"/>
                <w:sz w:val="22"/>
                <w:szCs w:val="22"/>
                <w:shd w:val="clear" w:color="auto" w:fill="FFFFFF"/>
                <w:lang w:val="en-US"/>
              </w:rPr>
              <w:t xml:space="preserve">However, there have been </w:t>
            </w:r>
            <w:proofErr w:type="gramStart"/>
            <w:r w:rsidRPr="00AD531A">
              <w:rPr>
                <w:rStyle w:val="normaltextrun"/>
                <w:color w:val="000000"/>
                <w:sz w:val="22"/>
                <w:szCs w:val="22"/>
                <w:shd w:val="clear" w:color="auto" w:fill="FFFFFF"/>
                <w:lang w:val="en-US"/>
              </w:rPr>
              <w:t>a number of</w:t>
            </w:r>
            <w:proofErr w:type="gramEnd"/>
            <w:r w:rsidRPr="00AD531A">
              <w:rPr>
                <w:rStyle w:val="normaltextrun"/>
                <w:color w:val="000000"/>
                <w:sz w:val="22"/>
                <w:szCs w:val="22"/>
                <w:shd w:val="clear" w:color="auto" w:fill="FFFFFF"/>
                <w:lang w:val="en-US"/>
              </w:rPr>
              <w:t xml:space="preserve"> key gaps identified where engagement needs to be increased, including:</w:t>
            </w:r>
          </w:p>
          <w:p w14:paraId="1B7B8B50" w14:textId="763F154C" w:rsidR="00CF0CE0" w:rsidRPr="00AD531A" w:rsidRDefault="00CF0CE0" w:rsidP="005F4B34">
            <w:pPr>
              <w:pStyle w:val="ListParagraph"/>
              <w:numPr>
                <w:ilvl w:val="0"/>
                <w:numId w:val="8"/>
              </w:numPr>
              <w:rPr>
                <w:color w:val="000000"/>
                <w:sz w:val="22"/>
                <w:szCs w:val="22"/>
                <w:shd w:val="clear" w:color="auto" w:fill="FFFFFF"/>
                <w:lang w:val="en-US"/>
              </w:rPr>
            </w:pPr>
            <w:r w:rsidRPr="00AD531A">
              <w:rPr>
                <w:sz w:val="22"/>
                <w:szCs w:val="22"/>
              </w:rPr>
              <w:t>Residents in North Warwickshire</w:t>
            </w:r>
          </w:p>
          <w:p w14:paraId="6D20F932" w14:textId="637673A5" w:rsidR="00CF0CE0" w:rsidRPr="00AD531A" w:rsidRDefault="00CF0CE0" w:rsidP="005F4B34">
            <w:pPr>
              <w:pStyle w:val="ListParagraph"/>
              <w:numPr>
                <w:ilvl w:val="0"/>
                <w:numId w:val="8"/>
              </w:numPr>
              <w:rPr>
                <w:color w:val="000000"/>
                <w:sz w:val="22"/>
                <w:szCs w:val="22"/>
                <w:shd w:val="clear" w:color="auto" w:fill="FFFFFF"/>
                <w:lang w:val="en-US"/>
              </w:rPr>
            </w:pPr>
            <w:r w:rsidRPr="00AD531A">
              <w:rPr>
                <w:sz w:val="22"/>
                <w:szCs w:val="22"/>
              </w:rPr>
              <w:t>Those unemployed</w:t>
            </w:r>
          </w:p>
          <w:p w14:paraId="523F639F" w14:textId="02BBAFA9" w:rsidR="00CF0CE0" w:rsidRPr="00AD531A" w:rsidRDefault="00CF0CE0" w:rsidP="005F4B34">
            <w:pPr>
              <w:pStyle w:val="ListParagraph"/>
              <w:numPr>
                <w:ilvl w:val="0"/>
                <w:numId w:val="8"/>
              </w:numPr>
              <w:rPr>
                <w:color w:val="000000"/>
                <w:sz w:val="22"/>
                <w:szCs w:val="22"/>
                <w:shd w:val="clear" w:color="auto" w:fill="FFFFFF"/>
                <w:lang w:val="en-US"/>
              </w:rPr>
            </w:pPr>
            <w:r w:rsidRPr="00AD531A">
              <w:rPr>
                <w:sz w:val="22"/>
                <w:szCs w:val="22"/>
              </w:rPr>
              <w:t>Under 30s (including under 18s)</w:t>
            </w:r>
          </w:p>
          <w:p w14:paraId="754EA4E2" w14:textId="3EB30889" w:rsidR="00CF0CE0" w:rsidRPr="00AD531A" w:rsidRDefault="00CF0CE0" w:rsidP="005F4B34">
            <w:pPr>
              <w:pStyle w:val="ListParagraph"/>
              <w:numPr>
                <w:ilvl w:val="0"/>
                <w:numId w:val="8"/>
              </w:numPr>
              <w:rPr>
                <w:color w:val="000000"/>
                <w:sz w:val="22"/>
                <w:szCs w:val="22"/>
                <w:shd w:val="clear" w:color="auto" w:fill="FFFFFF"/>
                <w:lang w:val="en-US"/>
              </w:rPr>
            </w:pPr>
            <w:r w:rsidRPr="00AD531A">
              <w:rPr>
                <w:sz w:val="22"/>
                <w:szCs w:val="22"/>
              </w:rPr>
              <w:t>Some ethnic minority groups</w:t>
            </w:r>
          </w:p>
          <w:p w14:paraId="755B3CF1" w14:textId="160AB395" w:rsidR="00CF0CE0" w:rsidRPr="00AD531A" w:rsidRDefault="00CF0CE0" w:rsidP="00CF0CE0">
            <w:pPr>
              <w:pStyle w:val="ListParagraph"/>
              <w:rPr>
                <w:color w:val="000000"/>
                <w:sz w:val="22"/>
                <w:szCs w:val="22"/>
                <w:shd w:val="clear" w:color="auto" w:fill="FFFFFF"/>
                <w:lang w:val="en-US"/>
              </w:rPr>
            </w:pPr>
          </w:p>
          <w:p w14:paraId="72F2A3BA" w14:textId="2E6507BF" w:rsidR="001B0F33" w:rsidRPr="00AD531A" w:rsidRDefault="00765CCF" w:rsidP="005F4B34">
            <w:pPr>
              <w:rPr>
                <w:sz w:val="22"/>
                <w:szCs w:val="22"/>
              </w:rPr>
            </w:pPr>
            <w:r w:rsidRPr="00AD531A">
              <w:rPr>
                <w:sz w:val="22"/>
                <w:szCs w:val="22"/>
              </w:rPr>
              <w:t xml:space="preserve">We need </w:t>
            </w:r>
            <w:r w:rsidR="003859AD" w:rsidRPr="00AD531A">
              <w:rPr>
                <w:sz w:val="22"/>
                <w:szCs w:val="22"/>
              </w:rPr>
              <w:t xml:space="preserve">the </w:t>
            </w:r>
            <w:r w:rsidRPr="00AD531A">
              <w:rPr>
                <w:sz w:val="22"/>
                <w:szCs w:val="22"/>
              </w:rPr>
              <w:t>feedback and views of all communities across Warwickshire</w:t>
            </w:r>
            <w:r w:rsidR="003859AD" w:rsidRPr="00AD531A">
              <w:rPr>
                <w:sz w:val="22"/>
                <w:szCs w:val="22"/>
              </w:rPr>
              <w:t xml:space="preserve"> to ensure that we are focusing on the appropriate priorities and outcomes</w:t>
            </w:r>
            <w:r w:rsidR="00CF0CE0" w:rsidRPr="00AD531A">
              <w:rPr>
                <w:sz w:val="22"/>
                <w:szCs w:val="22"/>
              </w:rPr>
              <w:t xml:space="preserve"> in our refreshed strategy</w:t>
            </w:r>
            <w:r w:rsidR="003859AD" w:rsidRPr="00AD531A">
              <w:rPr>
                <w:sz w:val="22"/>
                <w:szCs w:val="22"/>
              </w:rPr>
              <w:t>.</w:t>
            </w:r>
          </w:p>
        </w:tc>
      </w:tr>
      <w:tr w:rsidR="00FE7086" w14:paraId="72F2A3BF" w14:textId="77777777" w:rsidTr="4C29A0A8">
        <w:trPr>
          <w:trHeight w:val="980"/>
        </w:trPr>
        <w:tc>
          <w:tcPr>
            <w:tcW w:w="4786" w:type="dxa"/>
            <w:gridSpan w:val="2"/>
          </w:tcPr>
          <w:p w14:paraId="72F2A3BC" w14:textId="77777777" w:rsidR="00FE7086" w:rsidRDefault="00FE7086">
            <w:pPr>
              <w:pBdr>
                <w:top w:val="nil"/>
                <w:left w:val="nil"/>
                <w:bottom w:val="nil"/>
                <w:right w:val="nil"/>
                <w:between w:val="nil"/>
              </w:pBdr>
              <w:spacing w:line="276" w:lineRule="auto"/>
              <w:ind w:left="720"/>
            </w:pPr>
          </w:p>
          <w:p w14:paraId="72F2A3BD" w14:textId="77777777" w:rsidR="00FE7086" w:rsidRDefault="0070536C">
            <w:pPr>
              <w:numPr>
                <w:ilvl w:val="0"/>
                <w:numId w:val="3"/>
              </w:numPr>
              <w:pBdr>
                <w:top w:val="nil"/>
                <w:left w:val="nil"/>
                <w:bottom w:val="nil"/>
                <w:right w:val="nil"/>
                <w:between w:val="nil"/>
              </w:pBdr>
              <w:spacing w:after="200" w:line="276" w:lineRule="auto"/>
            </w:pPr>
            <w:r>
              <w:rPr>
                <w:color w:val="000000"/>
              </w:rPr>
              <w:t>What is the reason for the change/development?</w:t>
            </w:r>
          </w:p>
        </w:tc>
        <w:tc>
          <w:tcPr>
            <w:tcW w:w="9356" w:type="dxa"/>
          </w:tcPr>
          <w:p w14:paraId="72F2A3BE" w14:textId="6F268BC7" w:rsidR="00FE7086" w:rsidRPr="00AD531A" w:rsidRDefault="00714745" w:rsidP="006D12E6">
            <w:pPr>
              <w:rPr>
                <w:sz w:val="22"/>
                <w:szCs w:val="22"/>
              </w:rPr>
            </w:pPr>
            <w:r w:rsidRPr="00AD531A">
              <w:rPr>
                <w:sz w:val="22"/>
                <w:szCs w:val="22"/>
              </w:rPr>
              <w:t xml:space="preserve">The Health and Wellbeing Strategy is a high-level plan for improving health and wellbeing and reducing health inequalities for Warwickshire residents. It is used by Warwickshire County Council (WCC) and other local health and care partners to inform plans for commissioning </w:t>
            </w:r>
            <w:r w:rsidR="00E5716B" w:rsidRPr="00AD531A">
              <w:rPr>
                <w:sz w:val="22"/>
                <w:szCs w:val="22"/>
              </w:rPr>
              <w:t xml:space="preserve">and delivering </w:t>
            </w:r>
            <w:r w:rsidRPr="00AD531A">
              <w:rPr>
                <w:sz w:val="22"/>
                <w:szCs w:val="22"/>
              </w:rPr>
              <w:t>services. It also shape</w:t>
            </w:r>
            <w:r w:rsidR="00B560D2" w:rsidRPr="00AD531A">
              <w:rPr>
                <w:sz w:val="22"/>
                <w:szCs w:val="22"/>
              </w:rPr>
              <w:t>s</w:t>
            </w:r>
            <w:r w:rsidRPr="00AD531A">
              <w:rPr>
                <w:sz w:val="22"/>
                <w:szCs w:val="22"/>
              </w:rPr>
              <w:t xml:space="preserve"> work with partners to help meet health and social care needs and address the wider social determinants of health. The Strategy is owned by the Warwickshire Health and Wellbeing Board, which brings together senior leaders from WCC, district and borough councils, acute and community NHS trusts, the Clinical Commissioning Groups</w:t>
            </w:r>
            <w:r w:rsidR="00F22B4C" w:rsidRPr="00AD531A">
              <w:rPr>
                <w:sz w:val="22"/>
                <w:szCs w:val="22"/>
              </w:rPr>
              <w:t xml:space="preserve"> (CCGs)</w:t>
            </w:r>
            <w:r w:rsidRPr="00AD531A">
              <w:rPr>
                <w:sz w:val="22"/>
                <w:szCs w:val="22"/>
              </w:rPr>
              <w:t>, NHS England, the Police and Crime Commissioner, and voluntary sector organisations. </w:t>
            </w:r>
            <w:r w:rsidR="00575C37" w:rsidRPr="00AD531A">
              <w:rPr>
                <w:sz w:val="22"/>
                <w:szCs w:val="22"/>
              </w:rPr>
              <w:t>The</w:t>
            </w:r>
            <w:r w:rsidR="00CF0CE0" w:rsidRPr="00AD531A">
              <w:rPr>
                <w:sz w:val="22"/>
                <w:szCs w:val="22"/>
              </w:rPr>
              <w:t xml:space="preserve"> current</w:t>
            </w:r>
            <w:r w:rsidR="00575C37" w:rsidRPr="00AD531A">
              <w:rPr>
                <w:sz w:val="22"/>
                <w:szCs w:val="22"/>
              </w:rPr>
              <w:t xml:space="preserve"> Strategy</w:t>
            </w:r>
            <w:r w:rsidR="00CF0CE0" w:rsidRPr="00AD531A">
              <w:rPr>
                <w:sz w:val="22"/>
                <w:szCs w:val="22"/>
              </w:rPr>
              <w:t xml:space="preserve"> runs to the end of 2020 and needs to be</w:t>
            </w:r>
            <w:r w:rsidR="00575C37" w:rsidRPr="00AD531A">
              <w:rPr>
                <w:sz w:val="22"/>
                <w:szCs w:val="22"/>
              </w:rPr>
              <w:t xml:space="preserve"> r</w:t>
            </w:r>
            <w:r w:rsidR="00503F26" w:rsidRPr="00AD531A">
              <w:rPr>
                <w:sz w:val="22"/>
                <w:szCs w:val="22"/>
              </w:rPr>
              <w:t>efreshed</w:t>
            </w:r>
            <w:r w:rsidR="00CF0CE0" w:rsidRPr="00AD531A">
              <w:rPr>
                <w:sz w:val="22"/>
                <w:szCs w:val="22"/>
              </w:rPr>
              <w:t xml:space="preserve"> for 2020-25. W</w:t>
            </w:r>
            <w:r w:rsidR="00503F26" w:rsidRPr="00AD531A">
              <w:rPr>
                <w:sz w:val="22"/>
                <w:szCs w:val="22"/>
              </w:rPr>
              <w:t xml:space="preserve">e need to ensure that we have the views </w:t>
            </w:r>
            <w:r w:rsidR="00B65BF6" w:rsidRPr="00AD531A">
              <w:rPr>
                <w:sz w:val="22"/>
                <w:szCs w:val="22"/>
              </w:rPr>
              <w:t>of</w:t>
            </w:r>
            <w:r w:rsidR="00503F26" w:rsidRPr="00AD531A">
              <w:rPr>
                <w:sz w:val="22"/>
                <w:szCs w:val="22"/>
              </w:rPr>
              <w:t xml:space="preserve"> communities and residents across </w:t>
            </w:r>
            <w:r w:rsidR="00503F26" w:rsidRPr="00AD531A">
              <w:rPr>
                <w:sz w:val="22"/>
                <w:szCs w:val="22"/>
              </w:rPr>
              <w:lastRenderedPageBreak/>
              <w:t>Warwickshire in order to</w:t>
            </w:r>
            <w:r w:rsidR="00B65BF6" w:rsidRPr="00AD531A">
              <w:rPr>
                <w:sz w:val="22"/>
                <w:szCs w:val="22"/>
              </w:rPr>
              <w:t xml:space="preserve"> focus on the appropriate priorities and outcomes</w:t>
            </w:r>
            <w:r w:rsidR="0066721F">
              <w:rPr>
                <w:sz w:val="22"/>
                <w:szCs w:val="22"/>
              </w:rPr>
              <w:t>, which is of even greater importance following the impact Covid-19 has had on health &amp; wellbeing outcomes, health inequalities and the wider determinants of health.</w:t>
            </w:r>
          </w:p>
        </w:tc>
      </w:tr>
      <w:tr w:rsidR="00FE7086" w14:paraId="72F2A3C2" w14:textId="77777777" w:rsidTr="4C29A0A8">
        <w:trPr>
          <w:trHeight w:val="829"/>
        </w:trPr>
        <w:tc>
          <w:tcPr>
            <w:tcW w:w="4786" w:type="dxa"/>
            <w:gridSpan w:val="2"/>
          </w:tcPr>
          <w:p w14:paraId="72F2A3C0" w14:textId="77777777" w:rsidR="00FE7086" w:rsidRDefault="0070536C">
            <w:pPr>
              <w:numPr>
                <w:ilvl w:val="0"/>
                <w:numId w:val="3"/>
              </w:numPr>
              <w:pBdr>
                <w:top w:val="nil"/>
                <w:left w:val="nil"/>
                <w:bottom w:val="nil"/>
                <w:right w:val="nil"/>
                <w:between w:val="nil"/>
              </w:pBdr>
              <w:spacing w:after="200" w:line="276" w:lineRule="auto"/>
            </w:pPr>
            <w:r>
              <w:rPr>
                <w:color w:val="000000"/>
              </w:rPr>
              <w:lastRenderedPageBreak/>
              <w:t>How does it fit with Warwickshire County Council’s wider objectives?</w:t>
            </w:r>
          </w:p>
        </w:tc>
        <w:tc>
          <w:tcPr>
            <w:tcW w:w="9356" w:type="dxa"/>
          </w:tcPr>
          <w:p w14:paraId="5592B46D" w14:textId="3F50F05E" w:rsidR="00FE7086" w:rsidRPr="00D4447E" w:rsidRDefault="006F7011">
            <w:pPr>
              <w:rPr>
                <w:sz w:val="22"/>
                <w:szCs w:val="22"/>
              </w:rPr>
            </w:pPr>
            <w:r w:rsidRPr="00D4447E">
              <w:rPr>
                <w:sz w:val="22"/>
                <w:szCs w:val="22"/>
              </w:rPr>
              <w:t>The Health and Wellbeing Strategy refresh 2020 – 2025 supports</w:t>
            </w:r>
            <w:r w:rsidR="00DB1F66" w:rsidRPr="00D4447E">
              <w:rPr>
                <w:sz w:val="22"/>
                <w:szCs w:val="22"/>
              </w:rPr>
              <w:t xml:space="preserve"> the</w:t>
            </w:r>
            <w:r w:rsidRPr="00D4447E">
              <w:rPr>
                <w:sz w:val="22"/>
                <w:szCs w:val="22"/>
              </w:rPr>
              <w:t xml:space="preserve"> Council Plan and its </w:t>
            </w:r>
            <w:r w:rsidR="00F53FC8" w:rsidRPr="00D4447E">
              <w:rPr>
                <w:sz w:val="22"/>
                <w:szCs w:val="22"/>
              </w:rPr>
              <w:t>V</w:t>
            </w:r>
            <w:r w:rsidRPr="00D4447E">
              <w:rPr>
                <w:sz w:val="22"/>
                <w:szCs w:val="22"/>
              </w:rPr>
              <w:t>ision</w:t>
            </w:r>
            <w:r w:rsidR="00F53FC8" w:rsidRPr="00D4447E">
              <w:rPr>
                <w:sz w:val="22"/>
                <w:szCs w:val="22"/>
              </w:rPr>
              <w:t xml:space="preserve">: </w:t>
            </w:r>
            <w:r w:rsidR="00E6281E" w:rsidRPr="00D4447E">
              <w:rPr>
                <w:sz w:val="22"/>
                <w:szCs w:val="22"/>
              </w:rPr>
              <w:t>“</w:t>
            </w:r>
            <w:r w:rsidR="00F53FC8" w:rsidRPr="00D4447E">
              <w:rPr>
                <w:sz w:val="22"/>
                <w:szCs w:val="22"/>
              </w:rPr>
              <w:t>to make Warwickshire the best it can be, sustainable now and for future generations”</w:t>
            </w:r>
            <w:r w:rsidR="00E406F5" w:rsidRPr="00D4447E">
              <w:rPr>
                <w:sz w:val="22"/>
                <w:szCs w:val="22"/>
              </w:rPr>
              <w:t xml:space="preserve"> and </w:t>
            </w:r>
            <w:r w:rsidR="00DB1F66" w:rsidRPr="00D4447E">
              <w:rPr>
                <w:sz w:val="22"/>
                <w:szCs w:val="22"/>
              </w:rPr>
              <w:t xml:space="preserve">its two overarching priorities: </w:t>
            </w:r>
          </w:p>
          <w:p w14:paraId="7ABB3BE1" w14:textId="3C09A75B" w:rsidR="008B66DA" w:rsidRPr="00D4447E" w:rsidRDefault="008B66DA" w:rsidP="008B66DA">
            <w:pPr>
              <w:rPr>
                <w:sz w:val="22"/>
                <w:szCs w:val="22"/>
              </w:rPr>
            </w:pPr>
            <w:r w:rsidRPr="00D4447E">
              <w:rPr>
                <w:sz w:val="22"/>
                <w:szCs w:val="22"/>
              </w:rPr>
              <w:t>1. For Warwickshire’s communities and individuals to be supported to be safe, healthy and independent to help the most vulnerable children and adults.</w:t>
            </w:r>
          </w:p>
          <w:p w14:paraId="7B26CF50" w14:textId="77777777" w:rsidR="00C3012F" w:rsidRPr="00D4447E" w:rsidRDefault="00C3012F" w:rsidP="008B66DA">
            <w:pPr>
              <w:rPr>
                <w:sz w:val="22"/>
                <w:szCs w:val="22"/>
              </w:rPr>
            </w:pPr>
          </w:p>
          <w:p w14:paraId="72F2A3C1" w14:textId="4D8CCF10" w:rsidR="00DB1F66" w:rsidRPr="00D4447E" w:rsidRDefault="008B66DA">
            <w:pPr>
              <w:rPr>
                <w:sz w:val="22"/>
                <w:szCs w:val="22"/>
              </w:rPr>
            </w:pPr>
            <w:r w:rsidRPr="00D4447E">
              <w:rPr>
                <w:sz w:val="22"/>
                <w:szCs w:val="22"/>
              </w:rPr>
              <w:t>2. For Warwickshire’s economy to be vibrant and supported by the right jobs, training, skills and infrastructure. This will support communities and businesses to develop skills, attract investment, maintain the county’s transport network and enable young people to access a place in a high-quality educational setting.</w:t>
            </w:r>
          </w:p>
        </w:tc>
      </w:tr>
      <w:tr w:rsidR="00FE7086" w14:paraId="72F2A3C6" w14:textId="77777777" w:rsidTr="4C29A0A8">
        <w:trPr>
          <w:trHeight w:val="1403"/>
        </w:trPr>
        <w:tc>
          <w:tcPr>
            <w:tcW w:w="4786" w:type="dxa"/>
            <w:gridSpan w:val="2"/>
          </w:tcPr>
          <w:p w14:paraId="72F2A3C3" w14:textId="77777777" w:rsidR="00FE7086" w:rsidRDefault="00FE7086">
            <w:pPr>
              <w:pBdr>
                <w:top w:val="nil"/>
                <w:left w:val="nil"/>
                <w:bottom w:val="nil"/>
                <w:right w:val="nil"/>
                <w:between w:val="nil"/>
              </w:pBdr>
              <w:spacing w:line="276" w:lineRule="auto"/>
              <w:ind w:left="720"/>
            </w:pPr>
          </w:p>
          <w:p w14:paraId="72F2A3C4" w14:textId="77777777" w:rsidR="00FE7086" w:rsidRDefault="0070536C">
            <w:pPr>
              <w:numPr>
                <w:ilvl w:val="0"/>
                <w:numId w:val="3"/>
              </w:numPr>
              <w:pBdr>
                <w:top w:val="nil"/>
                <w:left w:val="nil"/>
                <w:bottom w:val="nil"/>
                <w:right w:val="nil"/>
                <w:between w:val="nil"/>
              </w:pBdr>
              <w:spacing w:after="200" w:line="276" w:lineRule="auto"/>
            </w:pPr>
            <w:r>
              <w:rPr>
                <w:color w:val="000000"/>
              </w:rPr>
              <w:t>Why might it be important to consider equality and the protected characteristics?</w:t>
            </w:r>
          </w:p>
        </w:tc>
        <w:tc>
          <w:tcPr>
            <w:tcW w:w="9356" w:type="dxa"/>
          </w:tcPr>
          <w:p w14:paraId="72F2A3C5" w14:textId="6868C3FA" w:rsidR="00FE7086" w:rsidRPr="00D4447E" w:rsidRDefault="201A300D" w:rsidP="00DC2887">
            <w:pPr>
              <w:rPr>
                <w:sz w:val="22"/>
                <w:szCs w:val="22"/>
              </w:rPr>
            </w:pPr>
            <w:r w:rsidRPr="201A300D">
              <w:rPr>
                <w:sz w:val="22"/>
                <w:szCs w:val="22"/>
              </w:rPr>
              <w:t>To ensure that the views of residents and communities are fed into the consultation and that their life experiences and expectations help shape the Health and Wellbeing Strategy. To ensure those who maybe seldom heard, socially isolated or experience barriers to social inclusion are proactively engaged with and supported to be part of th</w:t>
            </w:r>
            <w:r w:rsidR="00BA6D1D">
              <w:rPr>
                <w:sz w:val="22"/>
                <w:szCs w:val="22"/>
              </w:rPr>
              <w:t>e</w:t>
            </w:r>
            <w:r w:rsidRPr="201A300D">
              <w:rPr>
                <w:sz w:val="22"/>
                <w:szCs w:val="22"/>
              </w:rPr>
              <w:t xml:space="preserve"> consultation wherever possible. </w:t>
            </w:r>
            <w:r w:rsidR="0066721F">
              <w:rPr>
                <w:sz w:val="22"/>
                <w:szCs w:val="22"/>
              </w:rPr>
              <w:t xml:space="preserve">This is even more important due to the impact Covid-19 has had on health inequalities and the wider determinants of health, whereby those who are already disadvantaged are most likely to experience increased risk of Covid-19. </w:t>
            </w:r>
          </w:p>
        </w:tc>
      </w:tr>
      <w:tr w:rsidR="00FE7086" w14:paraId="72F2A3C8" w14:textId="77777777" w:rsidTr="4C29A0A8">
        <w:trPr>
          <w:trHeight w:val="300"/>
        </w:trPr>
        <w:tc>
          <w:tcPr>
            <w:tcW w:w="14142" w:type="dxa"/>
            <w:gridSpan w:val="3"/>
            <w:shd w:val="clear" w:color="auto" w:fill="D9D9D9" w:themeFill="background1" w:themeFillShade="D9"/>
          </w:tcPr>
          <w:p w14:paraId="72F2A3C7" w14:textId="77777777" w:rsidR="00FE7086" w:rsidRPr="006D12E6" w:rsidRDefault="0070536C" w:rsidP="006D12E6">
            <w:pPr>
              <w:rPr>
                <w:rFonts w:eastAsia="Times New Roman"/>
                <w:color w:val="000000"/>
                <w:sz w:val="22"/>
                <w:szCs w:val="22"/>
                <w:lang w:val="en-US"/>
              </w:rPr>
            </w:pPr>
            <w:r w:rsidRPr="006D12E6">
              <w:rPr>
                <w:rFonts w:eastAsia="Times New Roman"/>
                <w:color w:val="000000"/>
                <w:sz w:val="22"/>
                <w:szCs w:val="22"/>
                <w:lang w:val="en-US"/>
              </w:rPr>
              <w:t>Information Gathering</w:t>
            </w:r>
          </w:p>
        </w:tc>
      </w:tr>
      <w:tr w:rsidR="00FE7086" w14:paraId="72F2A3D1" w14:textId="77777777" w:rsidTr="4C29A0A8">
        <w:trPr>
          <w:trHeight w:val="940"/>
        </w:trPr>
        <w:tc>
          <w:tcPr>
            <w:tcW w:w="4534" w:type="dxa"/>
          </w:tcPr>
          <w:p w14:paraId="72F2A3C9" w14:textId="77777777" w:rsidR="00FE7086" w:rsidRDefault="00FE7086">
            <w:pPr>
              <w:pBdr>
                <w:top w:val="nil"/>
                <w:left w:val="nil"/>
                <w:bottom w:val="nil"/>
                <w:right w:val="nil"/>
                <w:between w:val="nil"/>
              </w:pBdr>
              <w:tabs>
                <w:tab w:val="left" w:pos="0"/>
              </w:tabs>
              <w:ind w:left="720"/>
              <w:rPr>
                <w:color w:val="000000"/>
              </w:rPr>
            </w:pPr>
          </w:p>
          <w:p w14:paraId="72F2A3CA" w14:textId="77777777" w:rsidR="00FE7086" w:rsidRDefault="0070536C">
            <w:pPr>
              <w:numPr>
                <w:ilvl w:val="0"/>
                <w:numId w:val="3"/>
              </w:numPr>
              <w:pBdr>
                <w:top w:val="nil"/>
                <w:left w:val="nil"/>
                <w:bottom w:val="nil"/>
                <w:right w:val="nil"/>
                <w:between w:val="nil"/>
              </w:pBdr>
              <w:tabs>
                <w:tab w:val="left" w:pos="0"/>
              </w:tabs>
            </w:pPr>
            <w:r>
              <w:rPr>
                <w:color w:val="000000"/>
              </w:rPr>
              <w:t>What sources of data have you used?</w:t>
            </w:r>
          </w:p>
          <w:p w14:paraId="72F2A3CB" w14:textId="77777777" w:rsidR="00FE7086" w:rsidRDefault="00FE7086">
            <w:pPr>
              <w:pBdr>
                <w:top w:val="nil"/>
                <w:left w:val="nil"/>
                <w:bottom w:val="nil"/>
                <w:right w:val="nil"/>
                <w:between w:val="nil"/>
              </w:pBdr>
              <w:tabs>
                <w:tab w:val="left" w:pos="0"/>
              </w:tabs>
              <w:rPr>
                <w:color w:val="000000"/>
              </w:rPr>
            </w:pPr>
          </w:p>
          <w:p w14:paraId="72F2A3CC" w14:textId="77777777" w:rsidR="00FE7086" w:rsidRDefault="0070536C">
            <w:pPr>
              <w:pBdr>
                <w:top w:val="nil"/>
                <w:left w:val="nil"/>
                <w:bottom w:val="nil"/>
                <w:right w:val="nil"/>
                <w:between w:val="nil"/>
              </w:pBdr>
              <w:tabs>
                <w:tab w:val="left" w:pos="0"/>
              </w:tabs>
              <w:rPr>
                <w:i/>
                <w:color w:val="000000"/>
              </w:rPr>
            </w:pPr>
            <w:r>
              <w:rPr>
                <w:i/>
                <w:color w:val="000000"/>
              </w:rPr>
              <w:t>You must keep a record of any data you have currently used as supporting evidence</w:t>
            </w:r>
          </w:p>
        </w:tc>
        <w:tc>
          <w:tcPr>
            <w:tcW w:w="9608" w:type="dxa"/>
            <w:gridSpan w:val="2"/>
          </w:tcPr>
          <w:p w14:paraId="5290BDD6" w14:textId="77777777" w:rsidR="00F17510" w:rsidRPr="00F17510" w:rsidRDefault="0070536C" w:rsidP="006D12E6">
            <w:pPr>
              <w:rPr>
                <w:sz w:val="22"/>
                <w:szCs w:val="22"/>
              </w:rPr>
            </w:pPr>
            <w:r w:rsidRPr="00F17510">
              <w:rPr>
                <w:sz w:val="22"/>
                <w:szCs w:val="22"/>
              </w:rPr>
              <w:t>Extensive data has</w:t>
            </w:r>
            <w:r w:rsidR="001E037F" w:rsidRPr="00F17510">
              <w:rPr>
                <w:sz w:val="22"/>
                <w:szCs w:val="22"/>
              </w:rPr>
              <w:t xml:space="preserve"> </w:t>
            </w:r>
            <w:r w:rsidRPr="00F17510">
              <w:rPr>
                <w:sz w:val="22"/>
                <w:szCs w:val="22"/>
              </w:rPr>
              <w:t xml:space="preserve">been collected as part of the </w:t>
            </w:r>
            <w:proofErr w:type="gramStart"/>
            <w:r w:rsidRPr="00F17510">
              <w:rPr>
                <w:sz w:val="22"/>
                <w:szCs w:val="22"/>
              </w:rPr>
              <w:t>place-based</w:t>
            </w:r>
            <w:proofErr w:type="gramEnd"/>
            <w:r w:rsidRPr="00F17510">
              <w:rPr>
                <w:sz w:val="22"/>
                <w:szCs w:val="22"/>
              </w:rPr>
              <w:t xml:space="preserve"> JSNA across 2</w:t>
            </w:r>
            <w:r w:rsidR="00B97622" w:rsidRPr="00F17510">
              <w:rPr>
                <w:sz w:val="22"/>
                <w:szCs w:val="22"/>
              </w:rPr>
              <w:t>2</w:t>
            </w:r>
            <w:r w:rsidR="00986E2F" w:rsidRPr="00F17510">
              <w:rPr>
                <w:sz w:val="22"/>
                <w:szCs w:val="22"/>
              </w:rPr>
              <w:t xml:space="preserve"> areas</w:t>
            </w:r>
            <w:r w:rsidRPr="00F17510">
              <w:rPr>
                <w:sz w:val="22"/>
                <w:szCs w:val="22"/>
              </w:rPr>
              <w:t xml:space="preserve"> in Warwickshire from 2018-20</w:t>
            </w:r>
            <w:r w:rsidR="009967DB" w:rsidRPr="00F17510">
              <w:rPr>
                <w:sz w:val="22"/>
                <w:szCs w:val="22"/>
              </w:rPr>
              <w:t>, and it is proposed the consultation on the HWB Strategy is an extension of this engagement activity</w:t>
            </w:r>
            <w:r w:rsidRPr="00F17510">
              <w:rPr>
                <w:sz w:val="22"/>
                <w:szCs w:val="22"/>
              </w:rPr>
              <w:t xml:space="preserve">. </w:t>
            </w:r>
          </w:p>
          <w:p w14:paraId="5B805BE4" w14:textId="77777777" w:rsidR="00F17510" w:rsidRPr="00F17510" w:rsidRDefault="00F17510" w:rsidP="006D12E6">
            <w:pPr>
              <w:rPr>
                <w:sz w:val="22"/>
                <w:szCs w:val="22"/>
              </w:rPr>
            </w:pPr>
          </w:p>
          <w:p w14:paraId="72F2A3CD" w14:textId="6B11DC32" w:rsidR="00066E9A" w:rsidRPr="00F17510" w:rsidRDefault="201A300D" w:rsidP="006D12E6">
            <w:pPr>
              <w:rPr>
                <w:sz w:val="22"/>
                <w:szCs w:val="22"/>
              </w:rPr>
            </w:pPr>
            <w:r w:rsidRPr="201A300D">
              <w:rPr>
                <w:sz w:val="22"/>
                <w:szCs w:val="22"/>
              </w:rPr>
              <w:t xml:space="preserve">The aim of the JSNA is to carry out research into local health needs and assets and put in place coordinated interventions to address these issues. Over 2000 residents’ and professionals’ surveys have been completed to collect information to identify health and wellbeing needs of people in Warwickshire. In addition, 16 stakeholder events have been delivered across all 22 JSNA areas to identify local needs and which communities may be adversely affected by </w:t>
            </w:r>
            <w:r w:rsidRPr="201A300D">
              <w:rPr>
                <w:sz w:val="22"/>
                <w:szCs w:val="22"/>
              </w:rPr>
              <w:lastRenderedPageBreak/>
              <w:t xml:space="preserve">inequalities in health. </w:t>
            </w:r>
            <w:r w:rsidR="00714114">
              <w:rPr>
                <w:sz w:val="22"/>
                <w:szCs w:val="22"/>
              </w:rPr>
              <w:t>T</w:t>
            </w:r>
            <w:r w:rsidRPr="201A300D">
              <w:rPr>
                <w:sz w:val="22"/>
                <w:szCs w:val="22"/>
              </w:rPr>
              <w:t xml:space="preserve">he Business Intelligence team have produced detailed needs assessments through analysis of national and local data. The reports highlight themes and recommendations associated with the health and wellbeing needs of the community: </w:t>
            </w:r>
            <w:hyperlink r:id="rId11">
              <w:r w:rsidRPr="201A300D">
                <w:rPr>
                  <w:rStyle w:val="Hyperlink"/>
                  <w:sz w:val="22"/>
                  <w:szCs w:val="22"/>
                </w:rPr>
                <w:t>https://www.warwickshire.gov.uk/joint-strategic-needs-assessments-1/jsna-place-based-approach</w:t>
              </w:r>
            </w:hyperlink>
          </w:p>
          <w:p w14:paraId="3D1C1DD7" w14:textId="7FFEC4F6" w:rsidR="0039361A" w:rsidRPr="00F17510" w:rsidRDefault="201A300D" w:rsidP="0039361A">
            <w:pPr>
              <w:rPr>
                <w:color w:val="000000"/>
                <w:sz w:val="22"/>
                <w:szCs w:val="22"/>
              </w:rPr>
            </w:pPr>
            <w:r w:rsidRPr="201A300D">
              <w:rPr>
                <w:sz w:val="22"/>
                <w:szCs w:val="22"/>
              </w:rPr>
              <w:t xml:space="preserve">At the close of the survey at the end of February 2020, 1769 residents’ surveys had been completed. Male (including trans man) - 518 (29.3%), Female (including trans woman) - 1168 (66.0%), Under 18 - 26 (1.5%), 18 – 29 - 80 (4.5%), 30 – 44  - 424 (24.0%), 45 – 59  -423 (23.9%), 60 – 74 - 564 (31.9%), 75 + - 204 (11.5 %), </w:t>
            </w:r>
            <w:r w:rsidRPr="201A300D">
              <w:rPr>
                <w:color w:val="000000" w:themeColor="text1"/>
                <w:sz w:val="22"/>
                <w:szCs w:val="22"/>
              </w:rPr>
              <w:t>White – British - 1556 (88.0%)</w:t>
            </w:r>
          </w:p>
          <w:p w14:paraId="130C8752" w14:textId="77777777" w:rsidR="00AB7415" w:rsidRDefault="00AB7415" w:rsidP="0039361A">
            <w:pPr>
              <w:rPr>
                <w:color w:val="000000"/>
                <w:sz w:val="22"/>
                <w:szCs w:val="22"/>
              </w:rPr>
            </w:pPr>
          </w:p>
          <w:p w14:paraId="11EFC145" w14:textId="0669F7E4" w:rsidR="00E652D0" w:rsidRPr="00F17510" w:rsidRDefault="00A54958" w:rsidP="0039361A">
            <w:pPr>
              <w:rPr>
                <w:color w:val="000000"/>
                <w:sz w:val="22"/>
                <w:szCs w:val="22"/>
              </w:rPr>
            </w:pPr>
            <w:r w:rsidRPr="00F17510">
              <w:rPr>
                <w:color w:val="000000"/>
                <w:sz w:val="22"/>
                <w:szCs w:val="22"/>
              </w:rPr>
              <w:t xml:space="preserve">Focus groups have </w:t>
            </w:r>
            <w:r w:rsidR="002B0CC2" w:rsidRPr="00F17510">
              <w:rPr>
                <w:color w:val="000000"/>
                <w:sz w:val="22"/>
                <w:szCs w:val="22"/>
              </w:rPr>
              <w:t>been carried out</w:t>
            </w:r>
            <w:r w:rsidRPr="00F17510">
              <w:rPr>
                <w:color w:val="000000"/>
                <w:sz w:val="22"/>
                <w:szCs w:val="22"/>
              </w:rPr>
              <w:t xml:space="preserve"> with </w:t>
            </w:r>
            <w:r w:rsidR="00BA61D7" w:rsidRPr="00F17510">
              <w:rPr>
                <w:color w:val="000000"/>
                <w:sz w:val="22"/>
                <w:szCs w:val="22"/>
              </w:rPr>
              <w:t>Youth Parliament and Children in Care Council to capture the views of children and young people</w:t>
            </w:r>
            <w:r w:rsidR="002F4413" w:rsidRPr="00F17510">
              <w:rPr>
                <w:color w:val="000000"/>
                <w:sz w:val="22"/>
                <w:szCs w:val="22"/>
              </w:rPr>
              <w:t xml:space="preserve"> in a variety of circumstances. </w:t>
            </w:r>
            <w:r w:rsidR="00AB7415">
              <w:rPr>
                <w:color w:val="000000"/>
                <w:sz w:val="22"/>
                <w:szCs w:val="22"/>
              </w:rPr>
              <w:t>Also</w:t>
            </w:r>
            <w:r w:rsidR="002F4413" w:rsidRPr="00F17510">
              <w:rPr>
                <w:color w:val="000000"/>
                <w:sz w:val="22"/>
                <w:szCs w:val="22"/>
              </w:rPr>
              <w:t xml:space="preserve"> stak</w:t>
            </w:r>
            <w:r w:rsidR="00D05548" w:rsidRPr="00F17510">
              <w:rPr>
                <w:color w:val="000000"/>
                <w:sz w:val="22"/>
                <w:szCs w:val="22"/>
              </w:rPr>
              <w:t>e</w:t>
            </w:r>
            <w:r w:rsidR="002F4413" w:rsidRPr="00F17510">
              <w:rPr>
                <w:color w:val="000000"/>
                <w:sz w:val="22"/>
                <w:szCs w:val="22"/>
              </w:rPr>
              <w:t>holders and partners</w:t>
            </w:r>
            <w:r w:rsidR="00D05548" w:rsidRPr="00F17510">
              <w:rPr>
                <w:color w:val="000000"/>
                <w:sz w:val="22"/>
                <w:szCs w:val="22"/>
              </w:rPr>
              <w:t xml:space="preserve"> such as </w:t>
            </w:r>
            <w:proofErr w:type="spellStart"/>
            <w:r w:rsidR="00D05548" w:rsidRPr="00F17510">
              <w:rPr>
                <w:color w:val="000000"/>
                <w:sz w:val="22"/>
                <w:szCs w:val="22"/>
              </w:rPr>
              <w:t>EQuIP</w:t>
            </w:r>
            <w:proofErr w:type="spellEnd"/>
            <w:r w:rsidR="00D05548" w:rsidRPr="00F17510">
              <w:rPr>
                <w:color w:val="000000"/>
                <w:sz w:val="22"/>
                <w:szCs w:val="22"/>
              </w:rPr>
              <w:t xml:space="preserve">, WCAVA, Young People First, schools, schools consortiums, </w:t>
            </w:r>
            <w:r w:rsidR="00811417" w:rsidRPr="00F17510">
              <w:rPr>
                <w:color w:val="000000"/>
                <w:sz w:val="22"/>
                <w:szCs w:val="22"/>
              </w:rPr>
              <w:t xml:space="preserve">local community groups and youth organisations, </w:t>
            </w:r>
            <w:r w:rsidR="00E92372" w:rsidRPr="00F17510">
              <w:rPr>
                <w:color w:val="000000"/>
                <w:sz w:val="22"/>
                <w:szCs w:val="22"/>
              </w:rPr>
              <w:t>Warwickshire Young Carers</w:t>
            </w:r>
            <w:r w:rsidR="00525839" w:rsidRPr="00F17510">
              <w:rPr>
                <w:color w:val="000000"/>
                <w:sz w:val="22"/>
                <w:szCs w:val="22"/>
              </w:rPr>
              <w:t>, Health</w:t>
            </w:r>
            <w:r w:rsidR="00F629BE">
              <w:rPr>
                <w:color w:val="000000"/>
                <w:sz w:val="22"/>
                <w:szCs w:val="22"/>
              </w:rPr>
              <w:t>w</w:t>
            </w:r>
            <w:r w:rsidR="00525839" w:rsidRPr="00F17510">
              <w:rPr>
                <w:color w:val="000000"/>
                <w:sz w:val="22"/>
                <w:szCs w:val="22"/>
              </w:rPr>
              <w:t xml:space="preserve">atch, Compass, </w:t>
            </w:r>
            <w:r w:rsidR="00DA3320" w:rsidRPr="00F17510">
              <w:rPr>
                <w:color w:val="000000"/>
                <w:sz w:val="22"/>
                <w:szCs w:val="22"/>
              </w:rPr>
              <w:t xml:space="preserve">WCC colleagues have all been </w:t>
            </w:r>
            <w:r w:rsidR="003D69F7" w:rsidRPr="00F17510">
              <w:rPr>
                <w:color w:val="000000"/>
                <w:sz w:val="22"/>
                <w:szCs w:val="22"/>
              </w:rPr>
              <w:t xml:space="preserve">given </w:t>
            </w:r>
            <w:r w:rsidR="00D13A8E" w:rsidRPr="00F17510">
              <w:rPr>
                <w:color w:val="000000"/>
                <w:sz w:val="22"/>
                <w:szCs w:val="22"/>
              </w:rPr>
              <w:t xml:space="preserve">presentations </w:t>
            </w:r>
            <w:r w:rsidR="006D12DC" w:rsidRPr="00F17510">
              <w:rPr>
                <w:color w:val="000000"/>
                <w:sz w:val="22"/>
                <w:szCs w:val="22"/>
              </w:rPr>
              <w:t xml:space="preserve">and </w:t>
            </w:r>
            <w:r w:rsidR="00D13A8E" w:rsidRPr="00F17510">
              <w:rPr>
                <w:color w:val="000000"/>
                <w:sz w:val="22"/>
                <w:szCs w:val="22"/>
              </w:rPr>
              <w:t xml:space="preserve">information and asked to support the JSNA process by inviting partners and colleagues to stakeholder events and by circulating the on-line survey. </w:t>
            </w:r>
            <w:r w:rsidR="00DB6C7C" w:rsidRPr="00F17510">
              <w:rPr>
                <w:color w:val="000000"/>
                <w:sz w:val="22"/>
                <w:szCs w:val="22"/>
              </w:rPr>
              <w:t>GPs surgeries, Town and Parish Councils</w:t>
            </w:r>
            <w:r w:rsidR="00BB249B" w:rsidRPr="00F17510">
              <w:rPr>
                <w:color w:val="000000"/>
                <w:sz w:val="22"/>
                <w:szCs w:val="22"/>
              </w:rPr>
              <w:t>, C</w:t>
            </w:r>
            <w:r w:rsidR="00F22B4C" w:rsidRPr="00F17510">
              <w:rPr>
                <w:color w:val="000000"/>
                <w:sz w:val="22"/>
                <w:szCs w:val="22"/>
              </w:rPr>
              <w:t>linical Commissioning Groups</w:t>
            </w:r>
            <w:r w:rsidR="00BB249B" w:rsidRPr="00F17510">
              <w:rPr>
                <w:color w:val="000000"/>
                <w:sz w:val="22"/>
                <w:szCs w:val="22"/>
              </w:rPr>
              <w:t xml:space="preserve"> and</w:t>
            </w:r>
            <w:r w:rsidR="00F22B4C" w:rsidRPr="00F17510">
              <w:rPr>
                <w:color w:val="000000"/>
                <w:sz w:val="22"/>
                <w:szCs w:val="22"/>
              </w:rPr>
              <w:t xml:space="preserve"> South Warwickshire Foundat</w:t>
            </w:r>
            <w:r w:rsidR="001E037F" w:rsidRPr="00F17510">
              <w:rPr>
                <w:color w:val="000000"/>
                <w:sz w:val="22"/>
                <w:szCs w:val="22"/>
              </w:rPr>
              <w:t>ion</w:t>
            </w:r>
            <w:r w:rsidR="00F22B4C" w:rsidRPr="00F17510">
              <w:rPr>
                <w:color w:val="000000"/>
                <w:sz w:val="22"/>
                <w:szCs w:val="22"/>
              </w:rPr>
              <w:t xml:space="preserve"> Trust</w:t>
            </w:r>
            <w:r w:rsidR="00BB249B" w:rsidRPr="00F17510">
              <w:rPr>
                <w:color w:val="000000"/>
                <w:sz w:val="22"/>
                <w:szCs w:val="22"/>
              </w:rPr>
              <w:t xml:space="preserve"> </w:t>
            </w:r>
            <w:r w:rsidR="00F22B4C" w:rsidRPr="00F17510">
              <w:rPr>
                <w:color w:val="000000"/>
                <w:sz w:val="22"/>
                <w:szCs w:val="22"/>
              </w:rPr>
              <w:t>(</w:t>
            </w:r>
            <w:r w:rsidR="00DB6C7C" w:rsidRPr="00F17510">
              <w:rPr>
                <w:color w:val="000000"/>
                <w:sz w:val="22"/>
                <w:szCs w:val="22"/>
              </w:rPr>
              <w:t>SWFT</w:t>
            </w:r>
            <w:r w:rsidR="00F22B4C" w:rsidRPr="00F17510">
              <w:rPr>
                <w:color w:val="000000"/>
                <w:sz w:val="22"/>
                <w:szCs w:val="22"/>
              </w:rPr>
              <w:t>)</w:t>
            </w:r>
            <w:r w:rsidR="00DB6C7C" w:rsidRPr="00F17510">
              <w:rPr>
                <w:color w:val="000000"/>
                <w:sz w:val="22"/>
                <w:szCs w:val="22"/>
              </w:rPr>
              <w:t xml:space="preserve"> </w:t>
            </w:r>
            <w:r w:rsidR="00BB249B" w:rsidRPr="00F17510">
              <w:rPr>
                <w:color w:val="000000"/>
                <w:sz w:val="22"/>
                <w:szCs w:val="22"/>
              </w:rPr>
              <w:t xml:space="preserve">have all </w:t>
            </w:r>
            <w:r w:rsidR="000F0050" w:rsidRPr="00F17510">
              <w:rPr>
                <w:color w:val="000000"/>
                <w:sz w:val="22"/>
                <w:szCs w:val="22"/>
              </w:rPr>
              <w:t xml:space="preserve">received information and requests were made for these partners to support the consultation process. </w:t>
            </w:r>
            <w:r w:rsidR="00E07F21" w:rsidRPr="00F17510">
              <w:rPr>
                <w:color w:val="000000"/>
                <w:sz w:val="22"/>
                <w:szCs w:val="22"/>
              </w:rPr>
              <w:t>Public Health colleagues</w:t>
            </w:r>
            <w:r w:rsidR="00D820F0" w:rsidRPr="00F17510">
              <w:rPr>
                <w:color w:val="000000"/>
                <w:sz w:val="22"/>
                <w:szCs w:val="22"/>
              </w:rPr>
              <w:t xml:space="preserve"> have attended events to promote the surveys and stakeholder events. </w:t>
            </w:r>
            <w:r w:rsidR="001D3A63" w:rsidRPr="00F17510">
              <w:rPr>
                <w:color w:val="000000"/>
                <w:sz w:val="22"/>
                <w:szCs w:val="22"/>
              </w:rPr>
              <w:t xml:space="preserve">The </w:t>
            </w:r>
            <w:r w:rsidR="001E037F" w:rsidRPr="00F17510">
              <w:rPr>
                <w:color w:val="000000"/>
                <w:sz w:val="22"/>
                <w:szCs w:val="22"/>
              </w:rPr>
              <w:t xml:space="preserve">WCC </w:t>
            </w:r>
            <w:r w:rsidR="001D3A63" w:rsidRPr="00F17510">
              <w:rPr>
                <w:color w:val="000000"/>
                <w:sz w:val="22"/>
                <w:szCs w:val="22"/>
              </w:rPr>
              <w:t xml:space="preserve">Localities Team have </w:t>
            </w:r>
            <w:r w:rsidR="001E037F" w:rsidRPr="00F17510">
              <w:rPr>
                <w:color w:val="000000"/>
                <w:sz w:val="22"/>
                <w:szCs w:val="22"/>
              </w:rPr>
              <w:t xml:space="preserve">also </w:t>
            </w:r>
            <w:r w:rsidR="001D3A63" w:rsidRPr="00F17510">
              <w:rPr>
                <w:color w:val="000000"/>
                <w:sz w:val="22"/>
                <w:szCs w:val="22"/>
              </w:rPr>
              <w:t>conducted surveys</w:t>
            </w:r>
            <w:r w:rsidR="001E037F" w:rsidRPr="00F17510">
              <w:rPr>
                <w:color w:val="000000"/>
                <w:sz w:val="22"/>
                <w:szCs w:val="22"/>
              </w:rPr>
              <w:t xml:space="preserve"> and events</w:t>
            </w:r>
            <w:r w:rsidR="001D3A63" w:rsidRPr="00F17510">
              <w:rPr>
                <w:color w:val="000000"/>
                <w:sz w:val="22"/>
                <w:szCs w:val="22"/>
              </w:rPr>
              <w:t xml:space="preserve"> with res</w:t>
            </w:r>
            <w:r w:rsidR="00125829" w:rsidRPr="00F17510">
              <w:rPr>
                <w:color w:val="000000"/>
                <w:sz w:val="22"/>
                <w:szCs w:val="22"/>
              </w:rPr>
              <w:t xml:space="preserve">idents and community groups/organisations throughout Warwickshire. </w:t>
            </w:r>
          </w:p>
          <w:p w14:paraId="72FFD44B" w14:textId="0BD7604A" w:rsidR="00A95FFD" w:rsidRPr="00F17510" w:rsidRDefault="00A95FFD" w:rsidP="00A95FFD">
            <w:pPr>
              <w:shd w:val="clear" w:color="auto" w:fill="FFFFFF"/>
              <w:rPr>
                <w:sz w:val="22"/>
                <w:szCs w:val="22"/>
              </w:rPr>
            </w:pPr>
          </w:p>
          <w:p w14:paraId="494ACD98" w14:textId="77777777" w:rsidR="00FE7086" w:rsidRDefault="00B811C6" w:rsidP="00B61F1B">
            <w:pPr>
              <w:shd w:val="clear" w:color="auto" w:fill="FFFFFF"/>
              <w:rPr>
                <w:sz w:val="22"/>
                <w:szCs w:val="22"/>
              </w:rPr>
            </w:pPr>
            <w:r w:rsidRPr="00F17510">
              <w:rPr>
                <w:sz w:val="22"/>
                <w:szCs w:val="22"/>
              </w:rPr>
              <w:t>Social media campaigns have taken place targeting young people</w:t>
            </w:r>
            <w:r w:rsidR="00145125" w:rsidRPr="00F17510">
              <w:rPr>
                <w:sz w:val="22"/>
                <w:szCs w:val="22"/>
              </w:rPr>
              <w:t>:</w:t>
            </w:r>
            <w:r w:rsidRPr="00F17510">
              <w:rPr>
                <w:sz w:val="22"/>
                <w:szCs w:val="22"/>
              </w:rPr>
              <w:t xml:space="preserve"> a radio campaign was </w:t>
            </w:r>
            <w:r w:rsidR="00145125" w:rsidRPr="00F17510">
              <w:rPr>
                <w:sz w:val="22"/>
                <w:szCs w:val="22"/>
              </w:rPr>
              <w:t>delivered</w:t>
            </w:r>
            <w:r w:rsidRPr="00F17510">
              <w:rPr>
                <w:sz w:val="22"/>
                <w:szCs w:val="22"/>
              </w:rPr>
              <w:t xml:space="preserve"> between Dec</w:t>
            </w:r>
            <w:r w:rsidR="00145125" w:rsidRPr="00F17510">
              <w:rPr>
                <w:sz w:val="22"/>
                <w:szCs w:val="22"/>
              </w:rPr>
              <w:t>ember</w:t>
            </w:r>
            <w:r w:rsidRPr="00F17510">
              <w:rPr>
                <w:sz w:val="22"/>
                <w:szCs w:val="22"/>
              </w:rPr>
              <w:t xml:space="preserve"> </w:t>
            </w:r>
            <w:r w:rsidR="007C7C06" w:rsidRPr="00F17510">
              <w:rPr>
                <w:sz w:val="22"/>
                <w:szCs w:val="22"/>
              </w:rPr>
              <w:t>20</w:t>
            </w:r>
            <w:r w:rsidRPr="00F17510">
              <w:rPr>
                <w:sz w:val="22"/>
                <w:szCs w:val="22"/>
              </w:rPr>
              <w:t xml:space="preserve">19 </w:t>
            </w:r>
            <w:r w:rsidR="007C7C06" w:rsidRPr="00F17510">
              <w:rPr>
                <w:sz w:val="22"/>
                <w:szCs w:val="22"/>
              </w:rPr>
              <w:t>to</w:t>
            </w:r>
            <w:r w:rsidRPr="00F17510">
              <w:rPr>
                <w:sz w:val="22"/>
                <w:szCs w:val="22"/>
              </w:rPr>
              <w:t xml:space="preserve"> Feb</w:t>
            </w:r>
            <w:r w:rsidR="00145125" w:rsidRPr="00F17510">
              <w:rPr>
                <w:sz w:val="22"/>
                <w:szCs w:val="22"/>
              </w:rPr>
              <w:t>ruary</w:t>
            </w:r>
            <w:r w:rsidRPr="00F17510">
              <w:rPr>
                <w:sz w:val="22"/>
                <w:szCs w:val="22"/>
              </w:rPr>
              <w:t xml:space="preserve"> </w:t>
            </w:r>
            <w:r w:rsidR="007C7C06" w:rsidRPr="00F17510">
              <w:rPr>
                <w:sz w:val="22"/>
                <w:szCs w:val="22"/>
              </w:rPr>
              <w:t>20</w:t>
            </w:r>
            <w:r w:rsidRPr="00F17510">
              <w:rPr>
                <w:sz w:val="22"/>
                <w:szCs w:val="22"/>
              </w:rPr>
              <w:t>20</w:t>
            </w:r>
            <w:r w:rsidR="00193B86" w:rsidRPr="00F17510">
              <w:rPr>
                <w:sz w:val="22"/>
                <w:szCs w:val="22"/>
              </w:rPr>
              <w:t xml:space="preserve"> and </w:t>
            </w:r>
            <w:r w:rsidR="007C7C06" w:rsidRPr="00F17510">
              <w:rPr>
                <w:sz w:val="22"/>
                <w:szCs w:val="22"/>
              </w:rPr>
              <w:t>the</w:t>
            </w:r>
            <w:r w:rsidR="00193B86" w:rsidRPr="00F17510">
              <w:rPr>
                <w:sz w:val="22"/>
                <w:szCs w:val="22"/>
              </w:rPr>
              <w:t xml:space="preserve"> press w</w:t>
            </w:r>
            <w:r w:rsidR="007C7C06" w:rsidRPr="00F17510">
              <w:rPr>
                <w:sz w:val="22"/>
                <w:szCs w:val="22"/>
              </w:rPr>
              <w:t>ere</w:t>
            </w:r>
            <w:r w:rsidR="00193B86" w:rsidRPr="00F17510">
              <w:rPr>
                <w:sz w:val="22"/>
                <w:szCs w:val="22"/>
              </w:rPr>
              <w:t xml:space="preserve"> approached with </w:t>
            </w:r>
            <w:r w:rsidR="00056EC8" w:rsidRPr="00F17510">
              <w:rPr>
                <w:sz w:val="22"/>
                <w:szCs w:val="22"/>
              </w:rPr>
              <w:t>articles promoting the surveys and stakeholder events</w:t>
            </w:r>
            <w:r w:rsidR="00011A27" w:rsidRPr="00F17510">
              <w:rPr>
                <w:sz w:val="22"/>
                <w:szCs w:val="22"/>
              </w:rPr>
              <w:t xml:space="preserve">. Case studies have been </w:t>
            </w:r>
            <w:r w:rsidR="00B61F1B" w:rsidRPr="00F17510">
              <w:rPr>
                <w:sz w:val="22"/>
                <w:szCs w:val="22"/>
              </w:rPr>
              <w:t xml:space="preserve">shared </w:t>
            </w:r>
            <w:r w:rsidR="00011A27" w:rsidRPr="00F17510">
              <w:rPr>
                <w:sz w:val="22"/>
                <w:szCs w:val="22"/>
              </w:rPr>
              <w:t xml:space="preserve">and the JSNA has been promoted through internal </w:t>
            </w:r>
            <w:r w:rsidR="00145125" w:rsidRPr="00F17510">
              <w:rPr>
                <w:sz w:val="22"/>
                <w:szCs w:val="22"/>
              </w:rPr>
              <w:t xml:space="preserve">and external </w:t>
            </w:r>
            <w:r w:rsidR="00011A27" w:rsidRPr="00F17510">
              <w:rPr>
                <w:sz w:val="22"/>
                <w:szCs w:val="22"/>
              </w:rPr>
              <w:t>comm</w:t>
            </w:r>
            <w:r w:rsidR="00B61F1B" w:rsidRPr="00F17510">
              <w:rPr>
                <w:sz w:val="22"/>
                <w:szCs w:val="22"/>
              </w:rPr>
              <w:t>unications</w:t>
            </w:r>
            <w:r w:rsidR="000E1A2C" w:rsidRPr="00F17510">
              <w:rPr>
                <w:sz w:val="22"/>
                <w:szCs w:val="22"/>
              </w:rPr>
              <w:t xml:space="preserve"> and newsletters. </w:t>
            </w:r>
          </w:p>
          <w:p w14:paraId="77AD121F" w14:textId="77777777" w:rsidR="0066721F" w:rsidRDefault="0066721F" w:rsidP="00B61F1B">
            <w:pPr>
              <w:shd w:val="clear" w:color="auto" w:fill="FFFFFF"/>
              <w:rPr>
                <w:sz w:val="22"/>
                <w:szCs w:val="22"/>
              </w:rPr>
            </w:pPr>
          </w:p>
          <w:p w14:paraId="72F2A3D0" w14:textId="224734A1" w:rsidR="0066721F" w:rsidRPr="00F17510" w:rsidRDefault="0066721F" w:rsidP="4C29A0A8">
            <w:pPr>
              <w:shd w:val="clear" w:color="auto" w:fill="FFFFFF" w:themeFill="background1"/>
              <w:rPr>
                <w:sz w:val="22"/>
                <w:szCs w:val="22"/>
              </w:rPr>
            </w:pPr>
            <w:r w:rsidRPr="4C29A0A8">
              <w:rPr>
                <w:sz w:val="22"/>
                <w:szCs w:val="22"/>
              </w:rPr>
              <w:t>In addition to this, survey data has been used from the Covid-19 residents survey which took place between August 16</w:t>
            </w:r>
            <w:r w:rsidRPr="4C29A0A8">
              <w:rPr>
                <w:sz w:val="22"/>
                <w:szCs w:val="22"/>
                <w:vertAlign w:val="superscript"/>
              </w:rPr>
              <w:t>th</w:t>
            </w:r>
            <w:r w:rsidRPr="4C29A0A8">
              <w:rPr>
                <w:sz w:val="22"/>
                <w:szCs w:val="22"/>
              </w:rPr>
              <w:t xml:space="preserve"> and September 30</w:t>
            </w:r>
            <w:r w:rsidRPr="4C29A0A8">
              <w:rPr>
                <w:sz w:val="22"/>
                <w:szCs w:val="22"/>
                <w:vertAlign w:val="superscript"/>
              </w:rPr>
              <w:t>th</w:t>
            </w:r>
            <w:proofErr w:type="gramStart"/>
            <w:r w:rsidRPr="4C29A0A8">
              <w:rPr>
                <w:sz w:val="22"/>
                <w:szCs w:val="22"/>
              </w:rPr>
              <w:t xml:space="preserve"> 2020</w:t>
            </w:r>
            <w:proofErr w:type="gramEnd"/>
            <w:r w:rsidRPr="4C29A0A8">
              <w:rPr>
                <w:sz w:val="22"/>
                <w:szCs w:val="22"/>
              </w:rPr>
              <w:t xml:space="preserve"> and was hosted by WCC’s Ask Warwickshire consultation hub. The survey received 2,510 respondents. The final report of the survey is due to presented at Health and Wellbeing Board in January 2020.</w:t>
            </w:r>
          </w:p>
        </w:tc>
      </w:tr>
      <w:tr w:rsidR="00FE7086" w14:paraId="72F2A3D5" w14:textId="77777777" w:rsidTr="4C29A0A8">
        <w:trPr>
          <w:trHeight w:val="1280"/>
        </w:trPr>
        <w:tc>
          <w:tcPr>
            <w:tcW w:w="4534" w:type="dxa"/>
          </w:tcPr>
          <w:p w14:paraId="72F2A3D2" w14:textId="77777777" w:rsidR="00FE7086" w:rsidRDefault="00FE7086">
            <w:pPr>
              <w:pBdr>
                <w:top w:val="nil"/>
                <w:left w:val="nil"/>
                <w:bottom w:val="nil"/>
                <w:right w:val="nil"/>
                <w:between w:val="nil"/>
              </w:pBdr>
              <w:tabs>
                <w:tab w:val="left" w:pos="0"/>
              </w:tabs>
              <w:ind w:left="720"/>
              <w:rPr>
                <w:color w:val="000000"/>
              </w:rPr>
            </w:pPr>
          </w:p>
          <w:p w14:paraId="72F2A3D3" w14:textId="77777777" w:rsidR="00FE7086" w:rsidRDefault="0070536C">
            <w:pPr>
              <w:numPr>
                <w:ilvl w:val="0"/>
                <w:numId w:val="3"/>
              </w:numPr>
              <w:pBdr>
                <w:top w:val="nil"/>
                <w:left w:val="nil"/>
                <w:bottom w:val="nil"/>
                <w:right w:val="nil"/>
                <w:between w:val="nil"/>
              </w:pBdr>
              <w:tabs>
                <w:tab w:val="left" w:pos="0"/>
              </w:tabs>
            </w:pPr>
            <w:r>
              <w:rPr>
                <w:color w:val="000000"/>
              </w:rPr>
              <w:t>What does the data you have tell you about your customers and about protected equality groups?</w:t>
            </w:r>
          </w:p>
        </w:tc>
        <w:tc>
          <w:tcPr>
            <w:tcW w:w="9608" w:type="dxa"/>
            <w:gridSpan w:val="2"/>
          </w:tcPr>
          <w:p w14:paraId="72F2A3D4" w14:textId="10027A81" w:rsidR="00FE7086" w:rsidRPr="00F17510" w:rsidRDefault="201A300D" w:rsidP="008942A5">
            <w:pPr>
              <w:rPr>
                <w:sz w:val="22"/>
                <w:szCs w:val="22"/>
              </w:rPr>
            </w:pPr>
            <w:r w:rsidRPr="201A300D">
              <w:rPr>
                <w:sz w:val="22"/>
                <w:szCs w:val="22"/>
              </w:rPr>
              <w:t>People from poorer socioeconomic backgrounds and those with long-term health conditions and disabilities may experience more barriers to social inclusion and are at greater risk of experiencing inequalities in health. The public consultation on the draft Health and Wellbeing</w:t>
            </w:r>
            <w:r w:rsidR="00D0653D">
              <w:rPr>
                <w:sz w:val="22"/>
                <w:szCs w:val="22"/>
              </w:rPr>
              <w:t xml:space="preserve"> </w:t>
            </w:r>
            <w:r w:rsidRPr="201A300D">
              <w:rPr>
                <w:sz w:val="22"/>
                <w:szCs w:val="22"/>
              </w:rPr>
              <w:t xml:space="preserve">Strategy will provide the opportunity to engage </w:t>
            </w:r>
            <w:r w:rsidR="0012403A">
              <w:rPr>
                <w:sz w:val="22"/>
                <w:szCs w:val="22"/>
              </w:rPr>
              <w:t xml:space="preserve">further </w:t>
            </w:r>
            <w:r w:rsidRPr="201A300D">
              <w:rPr>
                <w:sz w:val="22"/>
                <w:szCs w:val="22"/>
              </w:rPr>
              <w:t xml:space="preserve">with protected equality groups wherever possible, utilising the expertise and networks of organisations such as TAPPSPG (Third, Public and Private Sector Partnership Group) and </w:t>
            </w:r>
            <w:proofErr w:type="spellStart"/>
            <w:r w:rsidRPr="201A300D">
              <w:rPr>
                <w:sz w:val="22"/>
                <w:szCs w:val="22"/>
              </w:rPr>
              <w:t>EQuiP</w:t>
            </w:r>
            <w:proofErr w:type="spellEnd"/>
            <w:r w:rsidRPr="201A300D">
              <w:rPr>
                <w:sz w:val="22"/>
                <w:szCs w:val="22"/>
              </w:rPr>
              <w:t xml:space="preserve"> (Equality and Inclusion Partnership). </w:t>
            </w:r>
          </w:p>
        </w:tc>
      </w:tr>
      <w:tr w:rsidR="00FE7086" w14:paraId="72F2A3D8" w14:textId="77777777" w:rsidTr="4C29A0A8">
        <w:trPr>
          <w:trHeight w:val="698"/>
        </w:trPr>
        <w:tc>
          <w:tcPr>
            <w:tcW w:w="4534" w:type="dxa"/>
          </w:tcPr>
          <w:p w14:paraId="72F2A3D6" w14:textId="77777777" w:rsidR="00FE7086" w:rsidRDefault="0070536C">
            <w:pPr>
              <w:numPr>
                <w:ilvl w:val="0"/>
                <w:numId w:val="3"/>
              </w:numPr>
              <w:pBdr>
                <w:top w:val="nil"/>
                <w:left w:val="nil"/>
                <w:bottom w:val="nil"/>
                <w:right w:val="nil"/>
                <w:between w:val="nil"/>
              </w:pBdr>
              <w:tabs>
                <w:tab w:val="left" w:pos="0"/>
              </w:tabs>
            </w:pPr>
            <w:r>
              <w:t>What do you need to know more about?</w:t>
            </w:r>
          </w:p>
        </w:tc>
        <w:tc>
          <w:tcPr>
            <w:tcW w:w="9608" w:type="dxa"/>
            <w:gridSpan w:val="2"/>
          </w:tcPr>
          <w:p w14:paraId="72F2A3D7" w14:textId="704C9E20" w:rsidR="00FE7086" w:rsidRPr="00F17510" w:rsidRDefault="00013DEE">
            <w:pPr>
              <w:rPr>
                <w:sz w:val="22"/>
                <w:szCs w:val="22"/>
              </w:rPr>
            </w:pPr>
            <w:r w:rsidRPr="00F17510">
              <w:rPr>
                <w:sz w:val="22"/>
                <w:szCs w:val="22"/>
              </w:rPr>
              <w:t xml:space="preserve">More detailed information and equality monitoring regarding protected equality groups as part of </w:t>
            </w:r>
            <w:r w:rsidR="00DC0D7E" w:rsidRPr="00F17510">
              <w:rPr>
                <w:sz w:val="22"/>
                <w:szCs w:val="22"/>
              </w:rPr>
              <w:t>consultation</w:t>
            </w:r>
            <w:r w:rsidR="00682F17" w:rsidRPr="00F17510">
              <w:rPr>
                <w:sz w:val="22"/>
                <w:szCs w:val="22"/>
              </w:rPr>
              <w:t>.</w:t>
            </w:r>
          </w:p>
        </w:tc>
      </w:tr>
      <w:tr w:rsidR="00FE7086" w14:paraId="72F2A3DB" w14:textId="77777777" w:rsidTr="4C29A0A8">
        <w:trPr>
          <w:trHeight w:val="782"/>
        </w:trPr>
        <w:tc>
          <w:tcPr>
            <w:tcW w:w="4534" w:type="dxa"/>
          </w:tcPr>
          <w:p w14:paraId="72F2A3D9" w14:textId="77777777" w:rsidR="00FE7086" w:rsidRDefault="0070536C">
            <w:pPr>
              <w:numPr>
                <w:ilvl w:val="0"/>
                <w:numId w:val="3"/>
              </w:numPr>
              <w:pBdr>
                <w:top w:val="nil"/>
                <w:left w:val="nil"/>
                <w:bottom w:val="nil"/>
                <w:right w:val="nil"/>
                <w:between w:val="nil"/>
              </w:pBdr>
              <w:tabs>
                <w:tab w:val="left" w:pos="0"/>
              </w:tabs>
              <w:spacing w:after="200" w:line="276" w:lineRule="auto"/>
            </w:pPr>
            <w:r>
              <w:rPr>
                <w:color w:val="000000"/>
              </w:rPr>
              <w:t>How could you find this out and who could help you?</w:t>
            </w:r>
          </w:p>
        </w:tc>
        <w:tc>
          <w:tcPr>
            <w:tcW w:w="9608" w:type="dxa"/>
            <w:gridSpan w:val="2"/>
          </w:tcPr>
          <w:p w14:paraId="72F2A3DA" w14:textId="746D102D" w:rsidR="00FE7086" w:rsidRPr="00F17510" w:rsidRDefault="201A300D">
            <w:pPr>
              <w:rPr>
                <w:sz w:val="22"/>
                <w:szCs w:val="22"/>
              </w:rPr>
            </w:pPr>
            <w:r w:rsidRPr="201A300D">
              <w:rPr>
                <w:sz w:val="22"/>
                <w:szCs w:val="22"/>
              </w:rPr>
              <w:t>Using the Health and Wellbeing Strategy refresh 2020</w:t>
            </w:r>
            <w:r w:rsidR="00293D83">
              <w:rPr>
                <w:sz w:val="22"/>
                <w:szCs w:val="22"/>
              </w:rPr>
              <w:t>-</w:t>
            </w:r>
            <w:r w:rsidRPr="201A300D">
              <w:rPr>
                <w:sz w:val="22"/>
                <w:szCs w:val="22"/>
              </w:rPr>
              <w:t xml:space="preserve">25 consultation and </w:t>
            </w:r>
            <w:proofErr w:type="gramStart"/>
            <w:r w:rsidRPr="201A300D">
              <w:rPr>
                <w:sz w:val="22"/>
                <w:szCs w:val="22"/>
              </w:rPr>
              <w:t>through the use of</w:t>
            </w:r>
            <w:proofErr w:type="gramEnd"/>
            <w:r w:rsidR="0066721F">
              <w:rPr>
                <w:sz w:val="22"/>
                <w:szCs w:val="22"/>
              </w:rPr>
              <w:t xml:space="preserve"> virtual</w:t>
            </w:r>
            <w:r w:rsidRPr="201A300D">
              <w:rPr>
                <w:sz w:val="22"/>
                <w:szCs w:val="22"/>
              </w:rPr>
              <w:t xml:space="preserve"> community engagement</w:t>
            </w:r>
            <w:r w:rsidR="00C1545D">
              <w:rPr>
                <w:sz w:val="22"/>
                <w:szCs w:val="22"/>
              </w:rPr>
              <w:t xml:space="preserve"> and surveys, with the support of o</w:t>
            </w:r>
            <w:r w:rsidRPr="201A300D">
              <w:rPr>
                <w:sz w:val="22"/>
                <w:szCs w:val="22"/>
              </w:rPr>
              <w:t>rganisations such as Beehive</w:t>
            </w:r>
            <w:r w:rsidR="00293D83">
              <w:rPr>
                <w:sz w:val="22"/>
                <w:szCs w:val="22"/>
              </w:rPr>
              <w:t xml:space="preserve"> Consulting</w:t>
            </w:r>
            <w:r w:rsidRPr="201A300D">
              <w:rPr>
                <w:sz w:val="22"/>
                <w:szCs w:val="22"/>
              </w:rPr>
              <w:t xml:space="preserve">, WCAVA, </w:t>
            </w:r>
            <w:proofErr w:type="spellStart"/>
            <w:r w:rsidRPr="201A300D">
              <w:rPr>
                <w:sz w:val="22"/>
                <w:szCs w:val="22"/>
              </w:rPr>
              <w:t>EQuIP</w:t>
            </w:r>
            <w:proofErr w:type="spellEnd"/>
            <w:r w:rsidRPr="201A300D">
              <w:rPr>
                <w:sz w:val="22"/>
                <w:szCs w:val="22"/>
              </w:rPr>
              <w:t>, Health</w:t>
            </w:r>
            <w:r w:rsidR="006E6FBF">
              <w:rPr>
                <w:sz w:val="22"/>
                <w:szCs w:val="22"/>
              </w:rPr>
              <w:t>w</w:t>
            </w:r>
            <w:r w:rsidRPr="201A300D">
              <w:rPr>
                <w:sz w:val="22"/>
                <w:szCs w:val="22"/>
              </w:rPr>
              <w:t>atch</w:t>
            </w:r>
            <w:r w:rsidR="00C1545D">
              <w:rPr>
                <w:sz w:val="22"/>
                <w:szCs w:val="22"/>
              </w:rPr>
              <w:t xml:space="preserve"> </w:t>
            </w:r>
            <w:r w:rsidRPr="201A300D">
              <w:rPr>
                <w:sz w:val="22"/>
                <w:szCs w:val="22"/>
              </w:rPr>
              <w:t>and internal colleague</w:t>
            </w:r>
            <w:r w:rsidR="00C1545D">
              <w:rPr>
                <w:sz w:val="22"/>
                <w:szCs w:val="22"/>
              </w:rPr>
              <w:t>s</w:t>
            </w:r>
            <w:r w:rsidRPr="201A300D">
              <w:rPr>
                <w:sz w:val="22"/>
                <w:szCs w:val="22"/>
              </w:rPr>
              <w:t>.</w:t>
            </w:r>
          </w:p>
        </w:tc>
      </w:tr>
      <w:tr w:rsidR="00FE7086" w14:paraId="72F2A3DD" w14:textId="77777777" w:rsidTr="4C29A0A8">
        <w:trPr>
          <w:trHeight w:val="300"/>
        </w:trPr>
        <w:tc>
          <w:tcPr>
            <w:tcW w:w="14142" w:type="dxa"/>
            <w:gridSpan w:val="3"/>
            <w:shd w:val="clear" w:color="auto" w:fill="D9D9D9" w:themeFill="background1" w:themeFillShade="D9"/>
          </w:tcPr>
          <w:p w14:paraId="72F2A3DC" w14:textId="77777777" w:rsidR="00FE7086" w:rsidRDefault="0070536C">
            <w:pPr>
              <w:jc w:val="center"/>
              <w:rPr>
                <w:b/>
              </w:rPr>
            </w:pPr>
            <w:r>
              <w:rPr>
                <w:b/>
              </w:rPr>
              <w:t>Engagement and Consultation</w:t>
            </w:r>
          </w:p>
        </w:tc>
      </w:tr>
      <w:tr w:rsidR="00FE7086" w14:paraId="72F2A3E0" w14:textId="77777777" w:rsidTr="4C29A0A8">
        <w:trPr>
          <w:trHeight w:val="748"/>
        </w:trPr>
        <w:tc>
          <w:tcPr>
            <w:tcW w:w="4534" w:type="dxa"/>
          </w:tcPr>
          <w:p w14:paraId="72F2A3DE" w14:textId="77777777" w:rsidR="00FE7086" w:rsidRDefault="0070536C">
            <w:pPr>
              <w:numPr>
                <w:ilvl w:val="0"/>
                <w:numId w:val="3"/>
              </w:numPr>
              <w:pBdr>
                <w:top w:val="nil"/>
                <w:left w:val="nil"/>
                <w:bottom w:val="nil"/>
                <w:right w:val="nil"/>
                <w:between w:val="nil"/>
              </w:pBdr>
              <w:spacing w:after="200" w:line="276" w:lineRule="auto"/>
            </w:pPr>
            <w:r>
              <w:rPr>
                <w:color w:val="000000"/>
              </w:rPr>
              <w:t>Who have you consulted with from protected equality groups?</w:t>
            </w:r>
          </w:p>
        </w:tc>
        <w:tc>
          <w:tcPr>
            <w:tcW w:w="9608" w:type="dxa"/>
            <w:gridSpan w:val="2"/>
          </w:tcPr>
          <w:p w14:paraId="72F2A3DF" w14:textId="04FAC911" w:rsidR="00FE7086" w:rsidRPr="00F17510" w:rsidRDefault="201A300D" w:rsidP="0099068A">
            <w:pPr>
              <w:rPr>
                <w:sz w:val="22"/>
                <w:szCs w:val="22"/>
              </w:rPr>
            </w:pPr>
            <w:r w:rsidRPr="201A300D">
              <w:rPr>
                <w:sz w:val="22"/>
                <w:szCs w:val="22"/>
              </w:rPr>
              <w:t>Females, older people, B</w:t>
            </w:r>
            <w:r w:rsidR="000F5E39">
              <w:rPr>
                <w:sz w:val="22"/>
                <w:szCs w:val="22"/>
              </w:rPr>
              <w:t>A</w:t>
            </w:r>
            <w:r w:rsidRPr="201A300D">
              <w:rPr>
                <w:sz w:val="22"/>
                <w:szCs w:val="22"/>
              </w:rPr>
              <w:t>ME groups and people with a long-standing illness or disability, and young people via engagement as part of the JSNA</w:t>
            </w:r>
            <w:r w:rsidR="00230FB5">
              <w:rPr>
                <w:sz w:val="22"/>
                <w:szCs w:val="22"/>
              </w:rPr>
              <w:t xml:space="preserve"> and the HWB Strategy consultation (as outlined above)</w:t>
            </w:r>
            <w:r w:rsidRPr="201A300D">
              <w:rPr>
                <w:sz w:val="22"/>
                <w:szCs w:val="22"/>
              </w:rPr>
              <w:t>.</w:t>
            </w:r>
          </w:p>
        </w:tc>
      </w:tr>
      <w:tr w:rsidR="00FE7086" w14:paraId="72F2A3E3" w14:textId="77777777" w:rsidTr="4C29A0A8">
        <w:trPr>
          <w:trHeight w:val="595"/>
        </w:trPr>
        <w:tc>
          <w:tcPr>
            <w:tcW w:w="4534" w:type="dxa"/>
          </w:tcPr>
          <w:p w14:paraId="72F2A3E1" w14:textId="77777777" w:rsidR="00FE7086" w:rsidRDefault="0070536C">
            <w:pPr>
              <w:numPr>
                <w:ilvl w:val="0"/>
                <w:numId w:val="3"/>
              </w:numPr>
              <w:pBdr>
                <w:top w:val="nil"/>
                <w:left w:val="nil"/>
                <w:bottom w:val="nil"/>
                <w:right w:val="nil"/>
                <w:between w:val="nil"/>
              </w:pBdr>
              <w:spacing w:after="200" w:line="276" w:lineRule="auto"/>
            </w:pPr>
            <w:r>
              <w:rPr>
                <w:color w:val="000000"/>
              </w:rPr>
              <w:t>Who else could you consult with?</w:t>
            </w:r>
          </w:p>
        </w:tc>
        <w:tc>
          <w:tcPr>
            <w:tcW w:w="9608" w:type="dxa"/>
            <w:gridSpan w:val="2"/>
          </w:tcPr>
          <w:p w14:paraId="72F2A3E2" w14:textId="171281E4" w:rsidR="00EB5394" w:rsidRPr="00963B8A" w:rsidRDefault="468388C1">
            <w:pPr>
              <w:rPr>
                <w:sz w:val="22"/>
                <w:szCs w:val="22"/>
              </w:rPr>
            </w:pPr>
            <w:r w:rsidRPr="468388C1">
              <w:rPr>
                <w:sz w:val="22"/>
                <w:szCs w:val="22"/>
              </w:rPr>
              <w:t>Wider consultation on protected characteristics including B</w:t>
            </w:r>
            <w:r w:rsidR="0066721F">
              <w:rPr>
                <w:sz w:val="22"/>
                <w:szCs w:val="22"/>
              </w:rPr>
              <w:t>A</w:t>
            </w:r>
            <w:r w:rsidRPr="468388C1">
              <w:rPr>
                <w:sz w:val="22"/>
                <w:szCs w:val="22"/>
              </w:rPr>
              <w:t>ME and sexual orientation, disability, and young people.</w:t>
            </w:r>
          </w:p>
        </w:tc>
      </w:tr>
      <w:tr w:rsidR="00FE7086" w14:paraId="72F2A3E6" w14:textId="77777777" w:rsidTr="4C29A0A8">
        <w:trPr>
          <w:trHeight w:val="499"/>
        </w:trPr>
        <w:tc>
          <w:tcPr>
            <w:tcW w:w="4534" w:type="dxa"/>
          </w:tcPr>
          <w:p w14:paraId="72F2A3E4" w14:textId="77777777" w:rsidR="00FE7086" w:rsidRDefault="0070536C">
            <w:pPr>
              <w:numPr>
                <w:ilvl w:val="0"/>
                <w:numId w:val="3"/>
              </w:numPr>
              <w:pBdr>
                <w:top w:val="nil"/>
                <w:left w:val="nil"/>
                <w:bottom w:val="nil"/>
                <w:right w:val="nil"/>
                <w:between w:val="nil"/>
              </w:pBdr>
              <w:spacing w:after="200" w:line="276" w:lineRule="auto"/>
            </w:pPr>
            <w:r>
              <w:rPr>
                <w:color w:val="000000"/>
              </w:rPr>
              <w:t>Who can help you to do this?</w:t>
            </w:r>
          </w:p>
        </w:tc>
        <w:tc>
          <w:tcPr>
            <w:tcW w:w="9608" w:type="dxa"/>
            <w:gridSpan w:val="2"/>
          </w:tcPr>
          <w:p w14:paraId="72F2A3E5" w14:textId="197D9CDB" w:rsidR="00FE7086" w:rsidRPr="00F17510" w:rsidRDefault="00E775DB">
            <w:pPr>
              <w:rPr>
                <w:sz w:val="22"/>
                <w:szCs w:val="22"/>
              </w:rPr>
            </w:pPr>
            <w:r>
              <w:rPr>
                <w:sz w:val="22"/>
                <w:szCs w:val="22"/>
              </w:rPr>
              <w:t xml:space="preserve">Partners on the HWB Board and </w:t>
            </w:r>
            <w:r w:rsidR="26978A4D" w:rsidRPr="26978A4D">
              <w:rPr>
                <w:sz w:val="22"/>
                <w:szCs w:val="22"/>
              </w:rPr>
              <w:t xml:space="preserve">Voluntary and third sector </w:t>
            </w:r>
            <w:r>
              <w:rPr>
                <w:sz w:val="22"/>
                <w:szCs w:val="22"/>
              </w:rPr>
              <w:t xml:space="preserve">organisations </w:t>
            </w:r>
            <w:r w:rsidR="00C52E50">
              <w:rPr>
                <w:sz w:val="22"/>
                <w:szCs w:val="22"/>
              </w:rPr>
              <w:t>will be asked to support further consultation to capture feedback</w:t>
            </w:r>
            <w:r>
              <w:rPr>
                <w:sz w:val="22"/>
                <w:szCs w:val="22"/>
              </w:rPr>
              <w:t>.</w:t>
            </w:r>
          </w:p>
        </w:tc>
      </w:tr>
      <w:tr w:rsidR="00FE7086" w14:paraId="72F2A3E8" w14:textId="77777777" w:rsidTr="4C29A0A8">
        <w:trPr>
          <w:trHeight w:val="360"/>
        </w:trPr>
        <w:tc>
          <w:tcPr>
            <w:tcW w:w="14142" w:type="dxa"/>
            <w:gridSpan w:val="3"/>
            <w:shd w:val="clear" w:color="auto" w:fill="CCCCCC"/>
          </w:tcPr>
          <w:p w14:paraId="72F2A3E7" w14:textId="77777777" w:rsidR="00FE7086" w:rsidRDefault="0070536C">
            <w:pPr>
              <w:pBdr>
                <w:top w:val="nil"/>
                <w:left w:val="nil"/>
                <w:bottom w:val="nil"/>
                <w:right w:val="nil"/>
                <w:between w:val="nil"/>
              </w:pBdr>
              <w:spacing w:line="276" w:lineRule="auto"/>
              <w:jc w:val="center"/>
              <w:rPr>
                <w:b/>
                <w:color w:val="000000"/>
              </w:rPr>
            </w:pPr>
            <w:r>
              <w:rPr>
                <w:b/>
              </w:rPr>
              <w:t>Monitor and Evaluate</w:t>
            </w:r>
          </w:p>
        </w:tc>
      </w:tr>
      <w:tr w:rsidR="00FE7086" w14:paraId="72F2A3EB" w14:textId="77777777" w:rsidTr="4C29A0A8">
        <w:trPr>
          <w:trHeight w:val="840"/>
        </w:trPr>
        <w:tc>
          <w:tcPr>
            <w:tcW w:w="4534" w:type="dxa"/>
          </w:tcPr>
          <w:p w14:paraId="72F2A3E9" w14:textId="77777777" w:rsidR="00FE7086" w:rsidRDefault="0070536C">
            <w:pPr>
              <w:pBdr>
                <w:top w:val="nil"/>
                <w:left w:val="nil"/>
                <w:bottom w:val="nil"/>
                <w:right w:val="nil"/>
                <w:between w:val="nil"/>
              </w:pBdr>
              <w:spacing w:line="276" w:lineRule="auto"/>
              <w:rPr>
                <w:color w:val="000000"/>
              </w:rPr>
            </w:pPr>
            <w:r>
              <w:t>(14) How will you monitor and evaluate the service/strategy/practice/plan?</w:t>
            </w:r>
          </w:p>
        </w:tc>
        <w:tc>
          <w:tcPr>
            <w:tcW w:w="9608" w:type="dxa"/>
            <w:gridSpan w:val="2"/>
          </w:tcPr>
          <w:p w14:paraId="72F2A3EA" w14:textId="18DAE8E8" w:rsidR="00FE7086" w:rsidRDefault="00013DEE" w:rsidP="00986E2F">
            <w:r w:rsidRPr="00F629BE">
              <w:rPr>
                <w:sz w:val="22"/>
                <w:szCs w:val="22"/>
              </w:rPr>
              <w:t>In the longer</w:t>
            </w:r>
            <w:r w:rsidR="00CF0AD2" w:rsidRPr="00F629BE">
              <w:rPr>
                <w:sz w:val="22"/>
                <w:szCs w:val="22"/>
              </w:rPr>
              <w:t>-t</w:t>
            </w:r>
            <w:r w:rsidRPr="00F629BE">
              <w:rPr>
                <w:sz w:val="22"/>
                <w:szCs w:val="22"/>
              </w:rPr>
              <w:t xml:space="preserve">erm success will be measured by improved health outcomes and reduced demand on services </w:t>
            </w:r>
            <w:r w:rsidR="00C52E50" w:rsidRPr="00F629BE">
              <w:rPr>
                <w:sz w:val="22"/>
                <w:szCs w:val="22"/>
              </w:rPr>
              <w:t xml:space="preserve">from developing and mobilising the refreshed HWB Strategy </w:t>
            </w:r>
            <w:r w:rsidRPr="00F629BE">
              <w:rPr>
                <w:sz w:val="22"/>
                <w:szCs w:val="22"/>
              </w:rPr>
              <w:t xml:space="preserve">e.g. </w:t>
            </w:r>
            <w:r w:rsidR="00703E8F" w:rsidRPr="00F629BE">
              <w:rPr>
                <w:sz w:val="22"/>
                <w:szCs w:val="22"/>
              </w:rPr>
              <w:t xml:space="preserve">healthy life expectancy, </w:t>
            </w:r>
            <w:r w:rsidRPr="00F629BE">
              <w:rPr>
                <w:sz w:val="22"/>
                <w:szCs w:val="22"/>
              </w:rPr>
              <w:t>demand on adult social care services,</w:t>
            </w:r>
            <w:r w:rsidR="005F6870" w:rsidRPr="00F629BE">
              <w:rPr>
                <w:sz w:val="22"/>
                <w:szCs w:val="22"/>
              </w:rPr>
              <w:t xml:space="preserve"> and</w:t>
            </w:r>
            <w:r w:rsidRPr="00F629BE">
              <w:rPr>
                <w:sz w:val="22"/>
                <w:szCs w:val="22"/>
              </w:rPr>
              <w:t xml:space="preserve"> attendances at primary and secondary care. In the short term, success will be measured via the </w:t>
            </w:r>
            <w:r w:rsidR="00986E2F" w:rsidRPr="00F629BE">
              <w:rPr>
                <w:sz w:val="22"/>
                <w:szCs w:val="22"/>
              </w:rPr>
              <w:t>number of p</w:t>
            </w:r>
            <w:r w:rsidR="00FC76E1" w:rsidRPr="00F629BE">
              <w:rPr>
                <w:sz w:val="22"/>
                <w:szCs w:val="22"/>
              </w:rPr>
              <w:t xml:space="preserve">eople engaged in the Health and Wellbeing </w:t>
            </w:r>
            <w:r w:rsidR="00FA0ABB" w:rsidRPr="00F629BE">
              <w:rPr>
                <w:sz w:val="22"/>
                <w:szCs w:val="22"/>
              </w:rPr>
              <w:t>Strategy 2020</w:t>
            </w:r>
            <w:r w:rsidR="00187F0C">
              <w:rPr>
                <w:sz w:val="22"/>
                <w:szCs w:val="22"/>
              </w:rPr>
              <w:t>-</w:t>
            </w:r>
            <w:r w:rsidR="00FA0ABB" w:rsidRPr="00F629BE">
              <w:rPr>
                <w:sz w:val="22"/>
                <w:szCs w:val="22"/>
              </w:rPr>
              <w:t>25 refresh consultation</w:t>
            </w:r>
            <w:r w:rsidR="001A0338" w:rsidRPr="00F629BE">
              <w:rPr>
                <w:sz w:val="22"/>
                <w:szCs w:val="22"/>
              </w:rPr>
              <w:t xml:space="preserve"> and support for the draft priorities</w:t>
            </w:r>
            <w:r w:rsidR="00FA0ABB" w:rsidRPr="00F629BE">
              <w:rPr>
                <w:sz w:val="22"/>
                <w:szCs w:val="22"/>
              </w:rPr>
              <w:t xml:space="preserve">. </w:t>
            </w:r>
          </w:p>
        </w:tc>
      </w:tr>
    </w:tbl>
    <w:p w14:paraId="72F2A3EC" w14:textId="77777777" w:rsidR="00FE7086" w:rsidRDefault="0070536C">
      <w:pPr>
        <w:jc w:val="center"/>
        <w:rPr>
          <w:b/>
        </w:rPr>
      </w:pPr>
      <w:r>
        <w:rPr>
          <w:b/>
          <w:i/>
        </w:rPr>
        <w:lastRenderedPageBreak/>
        <w:t xml:space="preserve">Please note: Further information and advice about the corporate consultation process can be found </w:t>
      </w:r>
      <w:hyperlink r:id="rId12">
        <w:r>
          <w:rPr>
            <w:b/>
            <w:i/>
            <w:color w:val="1155CC"/>
            <w:u w:val="single"/>
          </w:rPr>
          <w:t>here</w:t>
        </w:r>
      </w:hyperlink>
      <w:r>
        <w:rPr>
          <w:b/>
        </w:rPr>
        <w:t>.</w:t>
      </w:r>
    </w:p>
    <w:tbl>
      <w:tblPr>
        <w:tblStyle w:val="a1"/>
        <w:tblW w:w="14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700"/>
        <w:gridCol w:w="2130"/>
        <w:gridCol w:w="2130"/>
        <w:gridCol w:w="5415"/>
      </w:tblGrid>
      <w:tr w:rsidR="00FE7086" w:rsidRPr="001A0338" w14:paraId="72F2A3EF" w14:textId="77777777">
        <w:tc>
          <w:tcPr>
            <w:tcW w:w="1432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2A3EE" w14:textId="77777777" w:rsidR="00FE7086" w:rsidRPr="001A0338" w:rsidRDefault="0070536C">
            <w:pPr>
              <w:widowControl w:val="0"/>
              <w:rPr>
                <w:b/>
                <w:sz w:val="22"/>
                <w:szCs w:val="22"/>
              </w:rPr>
            </w:pPr>
            <w:r w:rsidRPr="001A0338">
              <w:rPr>
                <w:b/>
                <w:sz w:val="22"/>
                <w:szCs w:val="22"/>
              </w:rPr>
              <w:t>(15) Analysis of impact and potential actions:</w:t>
            </w:r>
          </w:p>
        </w:tc>
      </w:tr>
      <w:tr w:rsidR="00FE7086" w:rsidRPr="001A0338" w14:paraId="72F2A3FA" w14:textId="77777777">
        <w:tc>
          <w:tcPr>
            <w:tcW w:w="195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A3F0" w14:textId="77777777" w:rsidR="00FE7086" w:rsidRPr="001A0338" w:rsidRDefault="0070536C">
            <w:pPr>
              <w:widowControl w:val="0"/>
              <w:rPr>
                <w:b/>
                <w:sz w:val="22"/>
                <w:szCs w:val="22"/>
              </w:rPr>
            </w:pPr>
            <w:r w:rsidRPr="001A0338">
              <w:rPr>
                <w:b/>
                <w:sz w:val="22"/>
                <w:szCs w:val="22"/>
              </w:rPr>
              <w:t xml:space="preserve"> Protected characteristics from the Equality Act 2010</w:t>
            </w:r>
          </w:p>
        </w:tc>
        <w:tc>
          <w:tcPr>
            <w:tcW w:w="270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3F1" w14:textId="77777777" w:rsidR="00FE7086" w:rsidRPr="001A0338" w:rsidRDefault="0070536C">
            <w:pPr>
              <w:widowControl w:val="0"/>
              <w:jc w:val="center"/>
              <w:rPr>
                <w:b/>
                <w:sz w:val="22"/>
                <w:szCs w:val="22"/>
              </w:rPr>
            </w:pPr>
            <w:r w:rsidRPr="001A0338">
              <w:rPr>
                <w:b/>
                <w:sz w:val="22"/>
                <w:szCs w:val="22"/>
              </w:rPr>
              <w:t>What do you know?</w:t>
            </w:r>
          </w:p>
          <w:p w14:paraId="72F2A3F2" w14:textId="77777777" w:rsidR="00FE7086" w:rsidRPr="001A0338" w:rsidRDefault="0070536C">
            <w:pPr>
              <w:widowControl w:val="0"/>
              <w:jc w:val="center"/>
              <w:rPr>
                <w:b/>
                <w:sz w:val="22"/>
                <w:szCs w:val="22"/>
              </w:rPr>
            </w:pPr>
            <w:r w:rsidRPr="001A0338">
              <w:rPr>
                <w:b/>
                <w:sz w:val="22"/>
                <w:szCs w:val="22"/>
              </w:rPr>
              <w:t>Summary of data about/feedback from your service-users and/or staff</w:t>
            </w:r>
          </w:p>
        </w:tc>
        <w:tc>
          <w:tcPr>
            <w:tcW w:w="42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3F3" w14:textId="77777777" w:rsidR="00FE7086" w:rsidRPr="001A0338" w:rsidRDefault="0070536C">
            <w:pPr>
              <w:widowControl w:val="0"/>
              <w:jc w:val="center"/>
              <w:rPr>
                <w:b/>
                <w:sz w:val="22"/>
                <w:szCs w:val="22"/>
              </w:rPr>
            </w:pPr>
            <w:r w:rsidRPr="001A0338">
              <w:rPr>
                <w:b/>
                <w:sz w:val="22"/>
                <w:szCs w:val="22"/>
              </w:rPr>
              <w:t>What does this mean?</w:t>
            </w:r>
          </w:p>
          <w:p w14:paraId="72F2A3F4" w14:textId="77777777" w:rsidR="00FE7086" w:rsidRPr="001A0338" w:rsidRDefault="0070536C">
            <w:pPr>
              <w:widowControl w:val="0"/>
              <w:rPr>
                <w:b/>
                <w:sz w:val="22"/>
                <w:szCs w:val="22"/>
              </w:rPr>
            </w:pPr>
            <w:r w:rsidRPr="001A0338">
              <w:rPr>
                <w:b/>
                <w:sz w:val="22"/>
                <w:szCs w:val="22"/>
              </w:rPr>
              <w:t xml:space="preserve"> </w:t>
            </w:r>
          </w:p>
        </w:tc>
        <w:tc>
          <w:tcPr>
            <w:tcW w:w="54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3F5" w14:textId="77777777" w:rsidR="00FE7086" w:rsidRPr="001A0338" w:rsidRDefault="0070536C">
            <w:pPr>
              <w:widowControl w:val="0"/>
              <w:rPr>
                <w:b/>
                <w:sz w:val="22"/>
                <w:szCs w:val="22"/>
              </w:rPr>
            </w:pPr>
            <w:r w:rsidRPr="001A0338">
              <w:rPr>
                <w:b/>
                <w:sz w:val="22"/>
                <w:szCs w:val="22"/>
              </w:rPr>
              <w:t>What can you do?</w:t>
            </w:r>
          </w:p>
          <w:p w14:paraId="72F2A3F6" w14:textId="77777777" w:rsidR="00FE7086" w:rsidRPr="001A0338" w:rsidRDefault="0070536C">
            <w:pPr>
              <w:widowControl w:val="0"/>
              <w:rPr>
                <w:b/>
                <w:sz w:val="22"/>
                <w:szCs w:val="22"/>
              </w:rPr>
            </w:pPr>
            <w:r w:rsidRPr="001A0338">
              <w:rPr>
                <w:b/>
                <w:sz w:val="22"/>
                <w:szCs w:val="22"/>
              </w:rPr>
              <w:t>All potential actions to:</w:t>
            </w:r>
          </w:p>
          <w:p w14:paraId="72F2A3F7" w14:textId="2885B6AC" w:rsidR="00FE7086" w:rsidRPr="001A0338" w:rsidRDefault="0070536C">
            <w:pPr>
              <w:widowControl w:val="0"/>
              <w:ind w:left="1080" w:hanging="360"/>
              <w:rPr>
                <w:b/>
                <w:sz w:val="22"/>
                <w:szCs w:val="22"/>
              </w:rPr>
            </w:pPr>
            <w:r w:rsidRPr="001A0338">
              <w:rPr>
                <w:rFonts w:ascii="Noto Sans Symbols" w:eastAsia="Noto Sans Symbols" w:hAnsi="Noto Sans Symbols" w:cs="Noto Sans Symbols"/>
                <w:b/>
                <w:sz w:val="22"/>
                <w:szCs w:val="22"/>
              </w:rPr>
              <w:t xml:space="preserve">●   </w:t>
            </w:r>
            <w:r w:rsidRPr="001A0338">
              <w:rPr>
                <w:rFonts w:ascii="Noto Sans Symbols" w:eastAsia="Noto Sans Symbols" w:hAnsi="Noto Sans Symbols" w:cs="Noto Sans Symbols"/>
                <w:b/>
                <w:sz w:val="22"/>
                <w:szCs w:val="22"/>
              </w:rPr>
              <w:tab/>
            </w:r>
            <w:r w:rsidRPr="001A0338">
              <w:rPr>
                <w:b/>
                <w:sz w:val="22"/>
                <w:szCs w:val="22"/>
              </w:rPr>
              <w:t>Eliminate discrimination/mitigate negative impact</w:t>
            </w:r>
          </w:p>
          <w:p w14:paraId="72F2A3F8" w14:textId="77777777" w:rsidR="00FE7086" w:rsidRPr="001A0338" w:rsidRDefault="0070536C">
            <w:pPr>
              <w:widowControl w:val="0"/>
              <w:ind w:left="1080" w:hanging="360"/>
              <w:rPr>
                <w:b/>
                <w:sz w:val="22"/>
                <w:szCs w:val="22"/>
              </w:rPr>
            </w:pPr>
            <w:r w:rsidRPr="001A0338">
              <w:rPr>
                <w:rFonts w:ascii="Noto Sans Symbols" w:eastAsia="Noto Sans Symbols" w:hAnsi="Noto Sans Symbols" w:cs="Noto Sans Symbols"/>
                <w:b/>
                <w:sz w:val="22"/>
                <w:szCs w:val="22"/>
              </w:rPr>
              <w:t xml:space="preserve">●   </w:t>
            </w:r>
            <w:r w:rsidRPr="001A0338">
              <w:rPr>
                <w:rFonts w:ascii="Noto Sans Symbols" w:eastAsia="Noto Sans Symbols" w:hAnsi="Noto Sans Symbols" w:cs="Noto Sans Symbols"/>
                <w:b/>
                <w:sz w:val="22"/>
                <w:szCs w:val="22"/>
              </w:rPr>
              <w:tab/>
            </w:r>
            <w:r w:rsidRPr="001A0338">
              <w:rPr>
                <w:b/>
                <w:sz w:val="22"/>
                <w:szCs w:val="22"/>
              </w:rPr>
              <w:t>Advance equality of opportunity</w:t>
            </w:r>
          </w:p>
          <w:p w14:paraId="72F2A3F9" w14:textId="77777777" w:rsidR="00FE7086" w:rsidRPr="001A0338" w:rsidRDefault="0070536C">
            <w:pPr>
              <w:widowControl w:val="0"/>
              <w:ind w:left="1080" w:hanging="360"/>
              <w:rPr>
                <w:b/>
                <w:sz w:val="22"/>
                <w:szCs w:val="22"/>
              </w:rPr>
            </w:pPr>
            <w:r w:rsidRPr="001A0338">
              <w:rPr>
                <w:rFonts w:ascii="Noto Sans Symbols" w:eastAsia="Noto Sans Symbols" w:hAnsi="Noto Sans Symbols" w:cs="Noto Sans Symbols"/>
                <w:b/>
                <w:sz w:val="22"/>
                <w:szCs w:val="22"/>
              </w:rPr>
              <w:t xml:space="preserve">●   </w:t>
            </w:r>
            <w:r w:rsidRPr="001A0338">
              <w:rPr>
                <w:rFonts w:ascii="Noto Sans Symbols" w:eastAsia="Noto Sans Symbols" w:hAnsi="Noto Sans Symbols" w:cs="Noto Sans Symbols"/>
                <w:b/>
                <w:sz w:val="22"/>
                <w:szCs w:val="22"/>
              </w:rPr>
              <w:tab/>
            </w:r>
            <w:r w:rsidRPr="001A0338">
              <w:rPr>
                <w:b/>
                <w:sz w:val="22"/>
                <w:szCs w:val="22"/>
              </w:rPr>
              <w:t>Foster good relations</w:t>
            </w:r>
          </w:p>
        </w:tc>
      </w:tr>
      <w:tr w:rsidR="00FE7086" w:rsidRPr="001A0338" w14:paraId="72F2A400" w14:textId="77777777">
        <w:tc>
          <w:tcPr>
            <w:tcW w:w="195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A3FB" w14:textId="77777777" w:rsidR="00FE7086" w:rsidRPr="001A0338" w:rsidRDefault="00FE7086">
            <w:pPr>
              <w:widowControl w:val="0"/>
              <w:pBdr>
                <w:top w:val="nil"/>
                <w:left w:val="nil"/>
                <w:bottom w:val="nil"/>
                <w:right w:val="nil"/>
                <w:between w:val="nil"/>
              </w:pBdr>
              <w:spacing w:line="276" w:lineRule="auto"/>
              <w:rPr>
                <w:b/>
                <w:sz w:val="22"/>
                <w:szCs w:val="22"/>
              </w:rPr>
            </w:pPr>
          </w:p>
        </w:tc>
        <w:tc>
          <w:tcPr>
            <w:tcW w:w="27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3FC" w14:textId="77777777" w:rsidR="00FE7086" w:rsidRPr="001A0338" w:rsidRDefault="00FE7086">
            <w:pPr>
              <w:widowControl w:val="0"/>
              <w:pBdr>
                <w:top w:val="nil"/>
                <w:left w:val="nil"/>
                <w:bottom w:val="nil"/>
                <w:right w:val="nil"/>
                <w:between w:val="nil"/>
              </w:pBdr>
              <w:spacing w:line="276" w:lineRule="auto"/>
              <w:rPr>
                <w:b/>
                <w:sz w:val="22"/>
                <w:szCs w:val="22"/>
              </w:rPr>
            </w:pP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3FD" w14:textId="77777777" w:rsidR="00FE7086" w:rsidRPr="001A0338" w:rsidRDefault="0070536C">
            <w:pPr>
              <w:widowControl w:val="0"/>
              <w:spacing w:before="480"/>
              <w:jc w:val="center"/>
              <w:rPr>
                <w:b/>
                <w:sz w:val="22"/>
                <w:szCs w:val="22"/>
              </w:rPr>
            </w:pPr>
            <w:r w:rsidRPr="001A0338">
              <w:rPr>
                <w:b/>
                <w:sz w:val="22"/>
                <w:szCs w:val="22"/>
              </w:rPr>
              <w:t>Positive impacts identified (actual and potential)</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3FE" w14:textId="77777777" w:rsidR="00FE7086" w:rsidRPr="001A0338" w:rsidRDefault="0070536C">
            <w:pPr>
              <w:widowControl w:val="0"/>
              <w:spacing w:before="480"/>
              <w:jc w:val="center"/>
              <w:rPr>
                <w:b/>
                <w:sz w:val="22"/>
                <w:szCs w:val="22"/>
              </w:rPr>
            </w:pPr>
            <w:r w:rsidRPr="001A0338">
              <w:rPr>
                <w:b/>
                <w:sz w:val="22"/>
                <w:szCs w:val="22"/>
              </w:rPr>
              <w:t>Negative impacts identified (actual and potential)</w:t>
            </w:r>
          </w:p>
        </w:tc>
        <w:tc>
          <w:tcPr>
            <w:tcW w:w="54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3FF" w14:textId="77777777" w:rsidR="00FE7086" w:rsidRPr="001A0338" w:rsidRDefault="00FE7086">
            <w:pPr>
              <w:widowControl w:val="0"/>
              <w:pBdr>
                <w:top w:val="nil"/>
                <w:left w:val="nil"/>
                <w:bottom w:val="nil"/>
                <w:right w:val="nil"/>
                <w:between w:val="nil"/>
              </w:pBdr>
              <w:spacing w:line="276" w:lineRule="auto"/>
              <w:rPr>
                <w:b/>
                <w:sz w:val="22"/>
                <w:szCs w:val="22"/>
              </w:rPr>
            </w:pPr>
          </w:p>
        </w:tc>
      </w:tr>
      <w:tr w:rsidR="00FE7086" w:rsidRPr="001A0338" w14:paraId="72F2A407" w14:textId="77777777" w:rsidTr="00B84DAF">
        <w:trPr>
          <w:trHeight w:val="3440"/>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A401" w14:textId="77777777" w:rsidR="00FE7086" w:rsidRPr="001A0338" w:rsidRDefault="0070536C">
            <w:pPr>
              <w:widowControl w:val="0"/>
              <w:spacing w:before="480"/>
              <w:rPr>
                <w:b/>
                <w:sz w:val="22"/>
                <w:szCs w:val="22"/>
              </w:rPr>
            </w:pPr>
            <w:r w:rsidRPr="001A0338">
              <w:rPr>
                <w:b/>
                <w:sz w:val="22"/>
                <w:szCs w:val="22"/>
              </w:rPr>
              <w:t>Age</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02" w14:textId="509F239D" w:rsidR="00290D73" w:rsidRPr="001A0338" w:rsidRDefault="003D3EAE" w:rsidP="00986E2F">
            <w:pPr>
              <w:widowControl w:val="0"/>
              <w:spacing w:before="480"/>
              <w:rPr>
                <w:sz w:val="22"/>
                <w:szCs w:val="22"/>
              </w:rPr>
            </w:pPr>
            <w:r w:rsidRPr="001A0338">
              <w:rPr>
                <w:sz w:val="22"/>
                <w:szCs w:val="22"/>
              </w:rPr>
              <w:t xml:space="preserve">The number of </w:t>
            </w:r>
            <w:r w:rsidR="00456313">
              <w:rPr>
                <w:sz w:val="22"/>
                <w:szCs w:val="22"/>
              </w:rPr>
              <w:t>people</w:t>
            </w:r>
            <w:r w:rsidRPr="001A0338">
              <w:rPr>
                <w:sz w:val="22"/>
                <w:szCs w:val="22"/>
              </w:rPr>
              <w:t xml:space="preserve"> aged over 65</w:t>
            </w:r>
            <w:r w:rsidR="00EC14FA" w:rsidRPr="001A0338">
              <w:rPr>
                <w:sz w:val="22"/>
                <w:szCs w:val="22"/>
              </w:rPr>
              <w:t xml:space="preserve"> is increasing significantly across Warwickshire. People are living longer but live with poor health for longer. Public services are struggling to meet th</w:t>
            </w:r>
            <w:r w:rsidR="00456313">
              <w:rPr>
                <w:sz w:val="22"/>
                <w:szCs w:val="22"/>
              </w:rPr>
              <w:t xml:space="preserve">e </w:t>
            </w:r>
            <w:r w:rsidR="00EC14FA" w:rsidRPr="001A0338">
              <w:rPr>
                <w:sz w:val="22"/>
                <w:szCs w:val="22"/>
              </w:rPr>
              <w:t>increase in demand.</w:t>
            </w:r>
            <w:r w:rsidR="00001AD1" w:rsidRPr="001A0338">
              <w:rPr>
                <w:sz w:val="22"/>
                <w:szCs w:val="22"/>
              </w:rPr>
              <w:t xml:space="preserve"> Services for</w:t>
            </w:r>
            <w:r w:rsidRPr="001A0338">
              <w:rPr>
                <w:sz w:val="22"/>
                <w:szCs w:val="22"/>
              </w:rPr>
              <w:t xml:space="preserve"> older people is an </w:t>
            </w:r>
            <w:r w:rsidR="00001AD1" w:rsidRPr="001A0338">
              <w:rPr>
                <w:sz w:val="22"/>
                <w:szCs w:val="22"/>
              </w:rPr>
              <w:t xml:space="preserve">overarching theme identified </w:t>
            </w:r>
            <w:r w:rsidR="00456313">
              <w:rPr>
                <w:sz w:val="22"/>
                <w:szCs w:val="22"/>
              </w:rPr>
              <w:t>in</w:t>
            </w:r>
            <w:r w:rsidR="00001AD1" w:rsidRPr="001A0338">
              <w:rPr>
                <w:sz w:val="22"/>
                <w:szCs w:val="22"/>
              </w:rPr>
              <w:t xml:space="preserve"> the </w:t>
            </w:r>
            <w:r w:rsidR="00986E2F" w:rsidRPr="001A0338">
              <w:rPr>
                <w:sz w:val="22"/>
                <w:szCs w:val="22"/>
              </w:rPr>
              <w:t>JSNA</w:t>
            </w:r>
            <w:r w:rsidRPr="001A0338">
              <w:rPr>
                <w:sz w:val="22"/>
                <w:szCs w:val="22"/>
              </w:rPr>
              <w:t>.</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03" w14:textId="2DFD586C" w:rsidR="00001AD1" w:rsidRPr="001A0338" w:rsidRDefault="00001AD1">
            <w:pPr>
              <w:widowControl w:val="0"/>
              <w:spacing w:before="480"/>
              <w:rPr>
                <w:sz w:val="22"/>
                <w:szCs w:val="22"/>
              </w:rPr>
            </w:pPr>
            <w:r w:rsidRPr="001A0338">
              <w:rPr>
                <w:sz w:val="22"/>
                <w:szCs w:val="22"/>
              </w:rPr>
              <w:t xml:space="preserve">Increased </w:t>
            </w:r>
            <w:r w:rsidR="007E45B7" w:rsidRPr="001A0338">
              <w:rPr>
                <w:sz w:val="22"/>
                <w:szCs w:val="22"/>
              </w:rPr>
              <w:t>preve</w:t>
            </w:r>
            <w:r w:rsidR="00CB16F2" w:rsidRPr="001A0338">
              <w:rPr>
                <w:sz w:val="22"/>
                <w:szCs w:val="22"/>
              </w:rPr>
              <w:t>n</w:t>
            </w:r>
            <w:r w:rsidR="007E45B7" w:rsidRPr="001A0338">
              <w:rPr>
                <w:sz w:val="22"/>
                <w:szCs w:val="22"/>
              </w:rPr>
              <w:t>t</w:t>
            </w:r>
            <w:r w:rsidR="00CB16F2" w:rsidRPr="001A0338">
              <w:rPr>
                <w:sz w:val="22"/>
                <w:szCs w:val="22"/>
              </w:rPr>
              <w:t>ative</w:t>
            </w:r>
            <w:r w:rsidR="00B84DAF">
              <w:rPr>
                <w:sz w:val="22"/>
                <w:szCs w:val="22"/>
              </w:rPr>
              <w:t xml:space="preserve"> and early intervention</w:t>
            </w:r>
            <w:r w:rsidR="00CB16F2" w:rsidRPr="001A0338">
              <w:rPr>
                <w:sz w:val="22"/>
                <w:szCs w:val="22"/>
              </w:rPr>
              <w:t xml:space="preserve"> </w:t>
            </w:r>
            <w:r w:rsidR="005A3D8F" w:rsidRPr="001A0338">
              <w:rPr>
                <w:sz w:val="22"/>
                <w:szCs w:val="22"/>
              </w:rPr>
              <w:t>solutions to develop resources</w:t>
            </w:r>
            <w:r w:rsidRPr="001A0338">
              <w:rPr>
                <w:sz w:val="22"/>
                <w:szCs w:val="22"/>
              </w:rPr>
              <w:t xml:space="preserve"> and assets to meet the needs of an ageing population.</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04" w14:textId="7752A579" w:rsidR="00FE7086" w:rsidRPr="001A0338" w:rsidRDefault="00001AD1">
            <w:pPr>
              <w:widowControl w:val="0"/>
              <w:spacing w:before="480"/>
              <w:rPr>
                <w:sz w:val="22"/>
                <w:szCs w:val="22"/>
              </w:rPr>
            </w:pPr>
            <w:r w:rsidRPr="001A0338">
              <w:rPr>
                <w:sz w:val="22"/>
                <w:szCs w:val="22"/>
              </w:rPr>
              <w:t>Some older people may not have the opportunity to engage in this process due to transport and accessibility issues.</w:t>
            </w:r>
            <w:r w:rsidR="0066721F">
              <w:rPr>
                <w:sz w:val="22"/>
                <w:szCs w:val="22"/>
              </w:rPr>
              <w:t xml:space="preserve"> There may also be issues with accessing </w:t>
            </w:r>
            <w:r w:rsidR="008D0411">
              <w:rPr>
                <w:sz w:val="22"/>
                <w:szCs w:val="22"/>
              </w:rPr>
              <w:t>virtual appointments/services that require technology.</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06" w14:textId="7C060D4C" w:rsidR="00001AD1" w:rsidRPr="001A0338" w:rsidRDefault="00001AD1" w:rsidP="00FC3894">
            <w:pPr>
              <w:widowControl w:val="0"/>
              <w:spacing w:before="480"/>
              <w:rPr>
                <w:sz w:val="22"/>
                <w:szCs w:val="22"/>
              </w:rPr>
            </w:pPr>
            <w:r w:rsidRPr="001A0338">
              <w:rPr>
                <w:sz w:val="22"/>
                <w:szCs w:val="22"/>
              </w:rPr>
              <w:t>Identify solutions to engage this group of people</w:t>
            </w:r>
            <w:r w:rsidR="00FC3894">
              <w:rPr>
                <w:sz w:val="22"/>
                <w:szCs w:val="22"/>
              </w:rPr>
              <w:t>, w</w:t>
            </w:r>
            <w:r w:rsidRPr="001A0338">
              <w:rPr>
                <w:sz w:val="22"/>
                <w:szCs w:val="22"/>
              </w:rPr>
              <w:t>ork</w:t>
            </w:r>
            <w:r w:rsidR="00FC3894">
              <w:rPr>
                <w:sz w:val="22"/>
                <w:szCs w:val="22"/>
              </w:rPr>
              <w:t>ing</w:t>
            </w:r>
            <w:r w:rsidRPr="001A0338">
              <w:rPr>
                <w:sz w:val="22"/>
                <w:szCs w:val="22"/>
              </w:rPr>
              <w:t xml:space="preserve"> with other community groups and organisation</w:t>
            </w:r>
            <w:r w:rsidR="005A3D8F" w:rsidRPr="001A0338">
              <w:rPr>
                <w:sz w:val="22"/>
                <w:szCs w:val="22"/>
              </w:rPr>
              <w:t>s</w:t>
            </w:r>
            <w:r w:rsidRPr="001A0338">
              <w:rPr>
                <w:sz w:val="22"/>
                <w:szCs w:val="22"/>
              </w:rPr>
              <w:t xml:space="preserve"> that have the expertise and understanding regarding the needs of those over 65. </w:t>
            </w:r>
          </w:p>
        </w:tc>
      </w:tr>
      <w:tr w:rsidR="00FE7086" w:rsidRPr="001A0338" w14:paraId="72F2A40D" w14:textId="77777777">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A408" w14:textId="77777777" w:rsidR="00FE7086" w:rsidRPr="001A0338" w:rsidRDefault="0070536C">
            <w:pPr>
              <w:widowControl w:val="0"/>
              <w:spacing w:before="480"/>
              <w:rPr>
                <w:b/>
                <w:sz w:val="22"/>
                <w:szCs w:val="22"/>
              </w:rPr>
            </w:pPr>
            <w:r w:rsidRPr="001A0338">
              <w:rPr>
                <w:b/>
                <w:sz w:val="22"/>
                <w:szCs w:val="22"/>
              </w:rPr>
              <w:t>Disability</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09" w14:textId="77777777" w:rsidR="00FE7086" w:rsidRPr="001A0338" w:rsidRDefault="00EB56EF">
            <w:pPr>
              <w:widowControl w:val="0"/>
              <w:spacing w:before="480"/>
              <w:rPr>
                <w:sz w:val="22"/>
                <w:szCs w:val="22"/>
              </w:rPr>
            </w:pPr>
            <w:r w:rsidRPr="001A0338">
              <w:rPr>
                <w:sz w:val="22"/>
                <w:szCs w:val="22"/>
              </w:rPr>
              <w:t xml:space="preserve">Living with a </w:t>
            </w:r>
            <w:r w:rsidR="003D3EAE" w:rsidRPr="001A0338">
              <w:rPr>
                <w:sz w:val="22"/>
                <w:szCs w:val="22"/>
              </w:rPr>
              <w:t xml:space="preserve">disability may increase the chances of experiencing </w:t>
            </w:r>
            <w:r w:rsidRPr="001A0338">
              <w:rPr>
                <w:sz w:val="22"/>
                <w:szCs w:val="22"/>
              </w:rPr>
              <w:t xml:space="preserve">poor health and social </w:t>
            </w:r>
            <w:r w:rsidRPr="001A0338">
              <w:rPr>
                <w:sz w:val="22"/>
                <w:szCs w:val="22"/>
              </w:rPr>
              <w:lastRenderedPageBreak/>
              <w:t>isolation</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0A" w14:textId="4E41285E" w:rsidR="00FE7086" w:rsidRPr="001A0338" w:rsidRDefault="00EB56EF" w:rsidP="00986E2F">
            <w:pPr>
              <w:widowControl w:val="0"/>
              <w:spacing w:before="480"/>
              <w:rPr>
                <w:sz w:val="22"/>
                <w:szCs w:val="22"/>
              </w:rPr>
            </w:pPr>
            <w:r w:rsidRPr="001A0338">
              <w:rPr>
                <w:sz w:val="22"/>
                <w:szCs w:val="22"/>
              </w:rPr>
              <w:lastRenderedPageBreak/>
              <w:t xml:space="preserve">This </w:t>
            </w:r>
            <w:r w:rsidR="001A5BE3" w:rsidRPr="001A0338">
              <w:rPr>
                <w:sz w:val="22"/>
                <w:szCs w:val="22"/>
              </w:rPr>
              <w:t>consultation</w:t>
            </w:r>
            <w:r w:rsidRPr="001A0338">
              <w:rPr>
                <w:sz w:val="22"/>
                <w:szCs w:val="22"/>
              </w:rPr>
              <w:t xml:space="preserve"> will </w:t>
            </w:r>
            <w:r w:rsidR="00986E2F" w:rsidRPr="001A0338">
              <w:rPr>
                <w:sz w:val="22"/>
                <w:szCs w:val="22"/>
              </w:rPr>
              <w:t xml:space="preserve">seek to </w:t>
            </w:r>
            <w:r w:rsidRPr="001A0338">
              <w:rPr>
                <w:sz w:val="22"/>
                <w:szCs w:val="22"/>
              </w:rPr>
              <w:t>engage a</w:t>
            </w:r>
            <w:r w:rsidR="00986E2F" w:rsidRPr="001A0338">
              <w:rPr>
                <w:sz w:val="22"/>
                <w:szCs w:val="22"/>
              </w:rPr>
              <w:t xml:space="preserve"> wide range of</w:t>
            </w:r>
            <w:r w:rsidRPr="001A0338">
              <w:rPr>
                <w:sz w:val="22"/>
                <w:szCs w:val="22"/>
              </w:rPr>
              <w:t xml:space="preserve"> residents and </w:t>
            </w:r>
            <w:r w:rsidRPr="001A0338">
              <w:rPr>
                <w:sz w:val="22"/>
                <w:szCs w:val="22"/>
              </w:rPr>
              <w:lastRenderedPageBreak/>
              <w:t>members of the community</w:t>
            </w:r>
            <w:r w:rsidR="003D7A05">
              <w:rPr>
                <w:sz w:val="22"/>
                <w:szCs w:val="22"/>
              </w:rPr>
              <w:t xml:space="preserve">, including </w:t>
            </w:r>
            <w:r w:rsidRPr="001A0338">
              <w:rPr>
                <w:sz w:val="22"/>
                <w:szCs w:val="22"/>
              </w:rPr>
              <w:t>people with a range of disabilities</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0B" w14:textId="2549B11C" w:rsidR="00FE7086" w:rsidRPr="001A0338" w:rsidRDefault="00172EE9" w:rsidP="00EB56EF">
            <w:pPr>
              <w:widowControl w:val="0"/>
              <w:spacing w:before="480"/>
              <w:rPr>
                <w:sz w:val="22"/>
                <w:szCs w:val="22"/>
              </w:rPr>
            </w:pPr>
            <w:r>
              <w:rPr>
                <w:sz w:val="22"/>
                <w:szCs w:val="22"/>
              </w:rPr>
              <w:lastRenderedPageBreak/>
              <w:t>E</w:t>
            </w:r>
            <w:r w:rsidR="00EB56EF" w:rsidRPr="001A0338">
              <w:rPr>
                <w:sz w:val="22"/>
                <w:szCs w:val="22"/>
              </w:rPr>
              <w:t xml:space="preserve">nsuring that those with disabilities can access the </w:t>
            </w:r>
            <w:r w:rsidR="00D53C66" w:rsidRPr="001A0338">
              <w:rPr>
                <w:sz w:val="22"/>
                <w:szCs w:val="22"/>
              </w:rPr>
              <w:t>consultation</w:t>
            </w:r>
            <w:r w:rsidR="00892F90" w:rsidRPr="001A0338">
              <w:rPr>
                <w:sz w:val="22"/>
                <w:szCs w:val="22"/>
              </w:rPr>
              <w:t xml:space="preserve"> </w:t>
            </w:r>
            <w:r w:rsidR="00D53C66" w:rsidRPr="001A0338">
              <w:rPr>
                <w:sz w:val="22"/>
                <w:szCs w:val="22"/>
              </w:rPr>
              <w:lastRenderedPageBreak/>
              <w:t>process</w:t>
            </w:r>
            <w:r w:rsidR="00EB56EF" w:rsidRPr="001A0338">
              <w:rPr>
                <w:sz w:val="22"/>
                <w:szCs w:val="22"/>
              </w:rPr>
              <w:t xml:space="preserve"> may be challenging.</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0C" w14:textId="5613D7DB" w:rsidR="00FE7086" w:rsidRPr="001A0338" w:rsidRDefault="00EB56EF" w:rsidP="0099068A">
            <w:pPr>
              <w:widowControl w:val="0"/>
              <w:spacing w:before="480"/>
              <w:rPr>
                <w:sz w:val="22"/>
                <w:szCs w:val="22"/>
              </w:rPr>
            </w:pPr>
            <w:r w:rsidRPr="001A0338">
              <w:rPr>
                <w:sz w:val="22"/>
                <w:szCs w:val="22"/>
              </w:rPr>
              <w:lastRenderedPageBreak/>
              <w:t>Engage partner organisations that have the knowledge, relationships and expertise associ</w:t>
            </w:r>
            <w:r w:rsidR="005A3D8F" w:rsidRPr="001A0338">
              <w:rPr>
                <w:sz w:val="22"/>
                <w:szCs w:val="22"/>
              </w:rPr>
              <w:t>ated with a range of disabilities</w:t>
            </w:r>
            <w:r w:rsidRPr="001A0338">
              <w:rPr>
                <w:sz w:val="22"/>
                <w:szCs w:val="22"/>
              </w:rPr>
              <w:t xml:space="preserve">. Engage those with disabilities in the </w:t>
            </w:r>
            <w:r w:rsidR="00955151" w:rsidRPr="001A0338">
              <w:rPr>
                <w:sz w:val="22"/>
                <w:szCs w:val="22"/>
              </w:rPr>
              <w:t xml:space="preserve">consultation process </w:t>
            </w:r>
            <w:r w:rsidR="00DF6C81" w:rsidRPr="001A0338">
              <w:rPr>
                <w:sz w:val="22"/>
                <w:szCs w:val="22"/>
              </w:rPr>
              <w:t xml:space="preserve">through </w:t>
            </w:r>
            <w:r w:rsidR="008D0411">
              <w:rPr>
                <w:sz w:val="22"/>
                <w:szCs w:val="22"/>
              </w:rPr>
              <w:lastRenderedPageBreak/>
              <w:t>surveys/virtual engagement sessions.</w:t>
            </w:r>
          </w:p>
        </w:tc>
      </w:tr>
      <w:tr w:rsidR="00FE7086" w:rsidRPr="001A0338" w14:paraId="72F2A413" w14:textId="77777777">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A40E" w14:textId="77777777" w:rsidR="00FE7086" w:rsidRPr="001A0338" w:rsidRDefault="0070536C">
            <w:pPr>
              <w:widowControl w:val="0"/>
              <w:spacing w:before="480"/>
              <w:rPr>
                <w:b/>
                <w:sz w:val="22"/>
                <w:szCs w:val="22"/>
              </w:rPr>
            </w:pPr>
            <w:r w:rsidRPr="001A0338">
              <w:rPr>
                <w:b/>
                <w:sz w:val="22"/>
                <w:szCs w:val="22"/>
              </w:rPr>
              <w:lastRenderedPageBreak/>
              <w:t>Sex</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0F" w14:textId="77777777" w:rsidR="00FE7086" w:rsidRPr="001A0338" w:rsidRDefault="0098577E">
            <w:pPr>
              <w:widowControl w:val="0"/>
              <w:spacing w:before="480"/>
              <w:rPr>
                <w:sz w:val="22"/>
                <w:szCs w:val="22"/>
              </w:rPr>
            </w:pPr>
            <w:r w:rsidRPr="001A0338">
              <w:rPr>
                <w:sz w:val="22"/>
                <w:szCs w:val="22"/>
              </w:rPr>
              <w:t xml:space="preserve">Women are generally living longer than men. This </w:t>
            </w:r>
            <w:proofErr w:type="gramStart"/>
            <w:r w:rsidRPr="001A0338">
              <w:rPr>
                <w:sz w:val="22"/>
                <w:szCs w:val="22"/>
              </w:rPr>
              <w:t>in itself creates</w:t>
            </w:r>
            <w:proofErr w:type="gramEnd"/>
            <w:r w:rsidRPr="001A0338">
              <w:rPr>
                <w:sz w:val="22"/>
                <w:szCs w:val="22"/>
              </w:rPr>
              <w:t xml:space="preserve"> challenges. As a </w:t>
            </w:r>
            <w:proofErr w:type="gramStart"/>
            <w:r w:rsidRPr="001A0338">
              <w:rPr>
                <w:sz w:val="22"/>
                <w:szCs w:val="22"/>
              </w:rPr>
              <w:t>result</w:t>
            </w:r>
            <w:proofErr w:type="gramEnd"/>
            <w:r w:rsidRPr="001A0338">
              <w:rPr>
                <w:sz w:val="22"/>
                <w:szCs w:val="22"/>
              </w:rPr>
              <w:t xml:space="preserve"> women may experience more</w:t>
            </w:r>
            <w:r w:rsidR="005A3D8F" w:rsidRPr="001A0338">
              <w:rPr>
                <w:sz w:val="22"/>
                <w:szCs w:val="22"/>
              </w:rPr>
              <w:t xml:space="preserve"> poor</w:t>
            </w:r>
            <w:r w:rsidRPr="001A0338">
              <w:rPr>
                <w:sz w:val="22"/>
                <w:szCs w:val="22"/>
              </w:rPr>
              <w:t xml:space="preserve"> health conditions associated with old age. There is an increased prevalence of men experiencing poor mental health</w:t>
            </w:r>
            <w:r w:rsidR="005A3D8F" w:rsidRPr="001A0338">
              <w:rPr>
                <w:sz w:val="22"/>
                <w:szCs w:val="22"/>
              </w:rPr>
              <w:t>.</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10" w14:textId="1FF6ABB5" w:rsidR="00FE7086" w:rsidRPr="001A0338" w:rsidRDefault="0098577E">
            <w:pPr>
              <w:widowControl w:val="0"/>
              <w:spacing w:before="480"/>
              <w:rPr>
                <w:sz w:val="22"/>
                <w:szCs w:val="22"/>
              </w:rPr>
            </w:pPr>
            <w:r w:rsidRPr="001A0338">
              <w:rPr>
                <w:sz w:val="22"/>
                <w:szCs w:val="22"/>
              </w:rPr>
              <w:t xml:space="preserve">Women have shown a greater interest in the </w:t>
            </w:r>
            <w:r w:rsidR="00892F90" w:rsidRPr="001A0338">
              <w:rPr>
                <w:sz w:val="22"/>
                <w:szCs w:val="22"/>
              </w:rPr>
              <w:t xml:space="preserve">JSNA </w:t>
            </w:r>
            <w:r w:rsidRPr="001A0338">
              <w:rPr>
                <w:sz w:val="22"/>
                <w:szCs w:val="22"/>
              </w:rPr>
              <w:t xml:space="preserve">consultation. </w:t>
            </w:r>
            <w:r w:rsidR="001F1999" w:rsidRPr="001A0338">
              <w:rPr>
                <w:sz w:val="22"/>
                <w:szCs w:val="22"/>
              </w:rPr>
              <w:t xml:space="preserve">This has helped to </w:t>
            </w:r>
            <w:r w:rsidR="00B15D31" w:rsidRPr="001A0338">
              <w:rPr>
                <w:sz w:val="22"/>
                <w:szCs w:val="22"/>
              </w:rPr>
              <w:t xml:space="preserve">gain a greater </w:t>
            </w:r>
            <w:r w:rsidR="001F1999" w:rsidRPr="001A0338">
              <w:rPr>
                <w:sz w:val="22"/>
                <w:szCs w:val="22"/>
              </w:rPr>
              <w:t>understand</w:t>
            </w:r>
            <w:r w:rsidR="00B15D31" w:rsidRPr="001A0338">
              <w:rPr>
                <w:sz w:val="22"/>
                <w:szCs w:val="22"/>
              </w:rPr>
              <w:t>ing of</w:t>
            </w:r>
            <w:r w:rsidR="001F1999" w:rsidRPr="001A0338">
              <w:rPr>
                <w:sz w:val="22"/>
                <w:szCs w:val="22"/>
              </w:rPr>
              <w:t xml:space="preserve"> the needs </w:t>
            </w:r>
            <w:r w:rsidR="00B15D31" w:rsidRPr="001A0338">
              <w:rPr>
                <w:sz w:val="22"/>
                <w:szCs w:val="22"/>
              </w:rPr>
              <w:t xml:space="preserve">of women.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11" w14:textId="5A0E7A52" w:rsidR="00FE7086" w:rsidRPr="001A0338" w:rsidRDefault="0098577E">
            <w:pPr>
              <w:widowControl w:val="0"/>
              <w:spacing w:before="480"/>
              <w:rPr>
                <w:sz w:val="22"/>
                <w:szCs w:val="22"/>
              </w:rPr>
            </w:pPr>
            <w:r w:rsidRPr="001A0338">
              <w:rPr>
                <w:sz w:val="22"/>
                <w:szCs w:val="22"/>
              </w:rPr>
              <w:t>Ensuring the needs of both men and women are met</w:t>
            </w:r>
            <w:r w:rsidR="00567275" w:rsidRPr="001A0338">
              <w:rPr>
                <w:sz w:val="22"/>
                <w:szCs w:val="22"/>
              </w:rPr>
              <w:t xml:space="preserve"> equally</w:t>
            </w:r>
            <w:r w:rsidRPr="001A0338">
              <w:rPr>
                <w:sz w:val="22"/>
                <w:szCs w:val="22"/>
              </w:rPr>
              <w:t xml:space="preserve">. </w:t>
            </w:r>
            <w:r w:rsidR="00567275" w:rsidRPr="001A0338">
              <w:rPr>
                <w:sz w:val="22"/>
                <w:szCs w:val="22"/>
              </w:rPr>
              <w:t>Exploring mechanisms to o</w:t>
            </w:r>
            <w:r w:rsidR="00B15D31" w:rsidRPr="001A0338">
              <w:rPr>
                <w:sz w:val="22"/>
                <w:szCs w:val="22"/>
              </w:rPr>
              <w:t>vercome the gender bias in the JSNA consultation and engage equal numbers of both genders</w:t>
            </w:r>
            <w:r w:rsidR="00567275" w:rsidRPr="001A0338">
              <w:rPr>
                <w:sz w:val="22"/>
                <w:szCs w:val="22"/>
              </w:rPr>
              <w:t>.</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12" w14:textId="2C348EEC" w:rsidR="00FE7086" w:rsidRPr="001A0338" w:rsidRDefault="00567275" w:rsidP="009A04A4">
            <w:pPr>
              <w:widowControl w:val="0"/>
              <w:spacing w:before="480"/>
              <w:rPr>
                <w:sz w:val="22"/>
                <w:szCs w:val="22"/>
              </w:rPr>
            </w:pPr>
            <w:r w:rsidRPr="001A0338">
              <w:rPr>
                <w:sz w:val="22"/>
                <w:szCs w:val="22"/>
              </w:rPr>
              <w:t>Use different methods and mechanism</w:t>
            </w:r>
            <w:r w:rsidR="00D410C6" w:rsidRPr="001A0338">
              <w:rPr>
                <w:sz w:val="22"/>
                <w:szCs w:val="22"/>
              </w:rPr>
              <w:t>s</w:t>
            </w:r>
            <w:r w:rsidRPr="001A0338">
              <w:rPr>
                <w:sz w:val="22"/>
                <w:szCs w:val="22"/>
              </w:rPr>
              <w:t xml:space="preserve"> to engage both men and women. </w:t>
            </w:r>
          </w:p>
        </w:tc>
      </w:tr>
      <w:tr w:rsidR="00FE7086" w:rsidRPr="001A0338" w14:paraId="72F2A419" w14:textId="77777777">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A414" w14:textId="77777777" w:rsidR="00FE7086" w:rsidRPr="001A0338" w:rsidRDefault="0070536C">
            <w:pPr>
              <w:widowControl w:val="0"/>
              <w:spacing w:before="480"/>
              <w:rPr>
                <w:b/>
                <w:sz w:val="22"/>
                <w:szCs w:val="22"/>
              </w:rPr>
            </w:pPr>
            <w:r w:rsidRPr="001A0338">
              <w:rPr>
                <w:b/>
                <w:sz w:val="22"/>
                <w:szCs w:val="22"/>
              </w:rPr>
              <w:t>Race</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15" w14:textId="240037B1" w:rsidR="00FE7086" w:rsidRPr="001A0338" w:rsidRDefault="00567275">
            <w:pPr>
              <w:widowControl w:val="0"/>
              <w:spacing w:before="480"/>
              <w:rPr>
                <w:sz w:val="22"/>
                <w:szCs w:val="22"/>
              </w:rPr>
            </w:pPr>
            <w:r w:rsidRPr="001A0338">
              <w:rPr>
                <w:sz w:val="22"/>
                <w:szCs w:val="22"/>
              </w:rPr>
              <w:t>B</w:t>
            </w:r>
            <w:r w:rsidR="000F5E39">
              <w:rPr>
                <w:sz w:val="22"/>
                <w:szCs w:val="22"/>
              </w:rPr>
              <w:t>A</w:t>
            </w:r>
            <w:r w:rsidRPr="001A0338">
              <w:rPr>
                <w:sz w:val="22"/>
                <w:szCs w:val="22"/>
              </w:rPr>
              <w:t>ME communities may have a greater chance of experiencing poverty and or social isolation. Th</w:t>
            </w:r>
            <w:r w:rsidR="00F06B70">
              <w:rPr>
                <w:sz w:val="22"/>
                <w:szCs w:val="22"/>
              </w:rPr>
              <w:t>e</w:t>
            </w:r>
            <w:r w:rsidRPr="001A0338">
              <w:rPr>
                <w:sz w:val="22"/>
                <w:szCs w:val="22"/>
              </w:rPr>
              <w:t xml:space="preserve"> </w:t>
            </w:r>
            <w:r w:rsidR="00254AFA" w:rsidRPr="001A0338">
              <w:rPr>
                <w:sz w:val="22"/>
                <w:szCs w:val="22"/>
              </w:rPr>
              <w:t>consultation</w:t>
            </w:r>
            <w:r w:rsidR="00263822" w:rsidRPr="001A0338">
              <w:rPr>
                <w:sz w:val="22"/>
                <w:szCs w:val="22"/>
              </w:rPr>
              <w:t xml:space="preserve"> </w:t>
            </w:r>
            <w:r w:rsidRPr="001A0338">
              <w:rPr>
                <w:sz w:val="22"/>
                <w:szCs w:val="22"/>
              </w:rPr>
              <w:t xml:space="preserve">will </w:t>
            </w:r>
            <w:r w:rsidR="00F06B70">
              <w:rPr>
                <w:sz w:val="22"/>
                <w:szCs w:val="22"/>
              </w:rPr>
              <w:t xml:space="preserve">seek to </w:t>
            </w:r>
            <w:r w:rsidRPr="001A0338">
              <w:rPr>
                <w:sz w:val="22"/>
                <w:szCs w:val="22"/>
              </w:rPr>
              <w:t>engage these communities</w:t>
            </w:r>
            <w:r w:rsidR="00263822" w:rsidRPr="001A0338">
              <w:rPr>
                <w:sz w:val="22"/>
                <w:szCs w:val="22"/>
              </w:rPr>
              <w:t xml:space="preserve"> </w:t>
            </w:r>
            <w:r w:rsidRPr="001A0338">
              <w:rPr>
                <w:sz w:val="22"/>
                <w:szCs w:val="22"/>
              </w:rPr>
              <w:t xml:space="preserve">to </w:t>
            </w:r>
            <w:r w:rsidR="00263822" w:rsidRPr="001A0338">
              <w:rPr>
                <w:sz w:val="22"/>
                <w:szCs w:val="22"/>
              </w:rPr>
              <w:t xml:space="preserve">help to identify mechanisms to </w:t>
            </w:r>
            <w:r w:rsidRPr="001A0338">
              <w:rPr>
                <w:sz w:val="22"/>
                <w:szCs w:val="22"/>
              </w:rPr>
              <w:t>overcome these barriers.</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16" w14:textId="376542B7" w:rsidR="00FE7086" w:rsidRPr="001A0338" w:rsidRDefault="00567275">
            <w:pPr>
              <w:widowControl w:val="0"/>
              <w:spacing w:before="480"/>
              <w:rPr>
                <w:sz w:val="22"/>
                <w:szCs w:val="22"/>
              </w:rPr>
            </w:pPr>
            <w:r w:rsidRPr="001A0338">
              <w:rPr>
                <w:sz w:val="22"/>
                <w:szCs w:val="22"/>
              </w:rPr>
              <w:t>B</w:t>
            </w:r>
            <w:r w:rsidR="000F5E39">
              <w:rPr>
                <w:sz w:val="22"/>
                <w:szCs w:val="22"/>
              </w:rPr>
              <w:t>A</w:t>
            </w:r>
            <w:r w:rsidRPr="001A0338">
              <w:rPr>
                <w:sz w:val="22"/>
                <w:szCs w:val="22"/>
              </w:rPr>
              <w:t xml:space="preserve">ME communities engaged and given greater opportunities to address health and wellbeing issues specific to their needs.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17" w14:textId="77777777" w:rsidR="00FE7086" w:rsidRPr="001A0338" w:rsidRDefault="00567275">
            <w:pPr>
              <w:widowControl w:val="0"/>
              <w:spacing w:before="480"/>
              <w:rPr>
                <w:sz w:val="22"/>
                <w:szCs w:val="22"/>
              </w:rPr>
            </w:pPr>
            <w:r w:rsidRPr="001A0338">
              <w:rPr>
                <w:sz w:val="22"/>
                <w:szCs w:val="22"/>
              </w:rPr>
              <w:t>Inadvertently excluding minority communities and therefore not meeting their needs.</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18" w14:textId="42BD2FE9" w:rsidR="00FE7086" w:rsidRPr="001A0338" w:rsidRDefault="00567275">
            <w:pPr>
              <w:widowControl w:val="0"/>
              <w:spacing w:before="480"/>
              <w:rPr>
                <w:sz w:val="22"/>
                <w:szCs w:val="22"/>
              </w:rPr>
            </w:pPr>
            <w:r w:rsidRPr="001A0338">
              <w:rPr>
                <w:sz w:val="22"/>
                <w:szCs w:val="22"/>
              </w:rPr>
              <w:t>Proactively engage B</w:t>
            </w:r>
            <w:r w:rsidR="000F5E39">
              <w:rPr>
                <w:sz w:val="22"/>
                <w:szCs w:val="22"/>
              </w:rPr>
              <w:t>A</w:t>
            </w:r>
            <w:r w:rsidRPr="001A0338">
              <w:rPr>
                <w:sz w:val="22"/>
                <w:szCs w:val="22"/>
              </w:rPr>
              <w:t>ME communities within their neighbourhoods and work with partners with existing relationships and network</w:t>
            </w:r>
            <w:r w:rsidR="00F06B70">
              <w:rPr>
                <w:sz w:val="22"/>
                <w:szCs w:val="22"/>
              </w:rPr>
              <w:t>s</w:t>
            </w:r>
            <w:r w:rsidRPr="001A0338">
              <w:rPr>
                <w:sz w:val="22"/>
                <w:szCs w:val="22"/>
              </w:rPr>
              <w:t>.</w:t>
            </w:r>
          </w:p>
        </w:tc>
      </w:tr>
      <w:tr w:rsidR="00FE7086" w:rsidRPr="001A0338" w14:paraId="72F2A41F" w14:textId="77777777">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A41A" w14:textId="77777777" w:rsidR="00FE7086" w:rsidRPr="001A0338" w:rsidRDefault="0070536C">
            <w:pPr>
              <w:widowControl w:val="0"/>
              <w:spacing w:before="480"/>
              <w:rPr>
                <w:b/>
                <w:sz w:val="22"/>
                <w:szCs w:val="22"/>
              </w:rPr>
            </w:pPr>
            <w:r w:rsidRPr="001A0338">
              <w:rPr>
                <w:b/>
                <w:sz w:val="22"/>
                <w:szCs w:val="22"/>
              </w:rPr>
              <w:t xml:space="preserve">Religion or </w:t>
            </w:r>
            <w:r w:rsidRPr="001A0338">
              <w:rPr>
                <w:b/>
                <w:sz w:val="22"/>
                <w:szCs w:val="22"/>
              </w:rPr>
              <w:lastRenderedPageBreak/>
              <w:t>belief</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1B" w14:textId="77777777" w:rsidR="00FE7086" w:rsidRPr="001A0338" w:rsidRDefault="000B46CE">
            <w:pPr>
              <w:widowControl w:val="0"/>
              <w:spacing w:before="480"/>
              <w:rPr>
                <w:sz w:val="22"/>
                <w:szCs w:val="22"/>
              </w:rPr>
            </w:pPr>
            <w:r w:rsidRPr="001A0338">
              <w:rPr>
                <w:sz w:val="22"/>
                <w:szCs w:val="22"/>
              </w:rPr>
              <w:lastRenderedPageBreak/>
              <w:t>No information available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1C" w14:textId="77777777" w:rsidR="00FE7086" w:rsidRPr="001A0338" w:rsidRDefault="00FE7086">
            <w:pPr>
              <w:widowControl w:val="0"/>
              <w:spacing w:before="480"/>
              <w:rPr>
                <w:sz w:val="22"/>
                <w:szCs w:val="22"/>
              </w:rPr>
            </w:pP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1D" w14:textId="77777777" w:rsidR="00FE7086" w:rsidRPr="001A0338" w:rsidRDefault="00FE7086">
            <w:pPr>
              <w:widowControl w:val="0"/>
              <w:spacing w:before="480"/>
              <w:rPr>
                <w:sz w:val="22"/>
                <w:szCs w:val="22"/>
              </w:rPr>
            </w:pP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1E" w14:textId="4E179A19" w:rsidR="00FE7086" w:rsidRPr="001A0338" w:rsidRDefault="000B46CE">
            <w:pPr>
              <w:widowControl w:val="0"/>
              <w:spacing w:before="480"/>
              <w:rPr>
                <w:sz w:val="22"/>
                <w:szCs w:val="22"/>
              </w:rPr>
            </w:pPr>
            <w:r w:rsidRPr="001A0338">
              <w:rPr>
                <w:sz w:val="22"/>
                <w:szCs w:val="22"/>
              </w:rPr>
              <w:t xml:space="preserve">More engagement in this area will be carried out. All </w:t>
            </w:r>
            <w:r w:rsidRPr="001A0338">
              <w:rPr>
                <w:sz w:val="22"/>
                <w:szCs w:val="22"/>
              </w:rPr>
              <w:lastRenderedPageBreak/>
              <w:t xml:space="preserve">residents and members of the community will be proactively engaged in the </w:t>
            </w:r>
            <w:r w:rsidR="009E5222" w:rsidRPr="001A0338">
              <w:rPr>
                <w:sz w:val="22"/>
                <w:szCs w:val="22"/>
              </w:rPr>
              <w:t>consultation</w:t>
            </w:r>
            <w:r w:rsidR="008D0411">
              <w:rPr>
                <w:sz w:val="22"/>
                <w:szCs w:val="22"/>
              </w:rPr>
              <w:t xml:space="preserve">, for example an engagement session will be carried out with a local Faith Forum. </w:t>
            </w:r>
            <w:r w:rsidRPr="001A0338">
              <w:rPr>
                <w:sz w:val="22"/>
                <w:szCs w:val="22"/>
              </w:rPr>
              <w:t>Relationship</w:t>
            </w:r>
            <w:r w:rsidR="00D716D7" w:rsidRPr="001A0338">
              <w:rPr>
                <w:sz w:val="22"/>
                <w:szCs w:val="22"/>
              </w:rPr>
              <w:t>s</w:t>
            </w:r>
            <w:r w:rsidRPr="001A0338">
              <w:rPr>
                <w:sz w:val="22"/>
                <w:szCs w:val="22"/>
              </w:rPr>
              <w:t xml:space="preserve"> and networks will be developed with members of these communities and community groups or organisations working with these communities. </w:t>
            </w:r>
          </w:p>
        </w:tc>
      </w:tr>
      <w:tr w:rsidR="00FE7086" w:rsidRPr="001A0338" w14:paraId="72F2A425" w14:textId="77777777">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A420" w14:textId="77777777" w:rsidR="00FE7086" w:rsidRPr="001A0338" w:rsidRDefault="0070536C">
            <w:pPr>
              <w:widowControl w:val="0"/>
              <w:spacing w:before="480"/>
              <w:rPr>
                <w:b/>
                <w:sz w:val="22"/>
                <w:szCs w:val="22"/>
              </w:rPr>
            </w:pPr>
            <w:r w:rsidRPr="001A0338">
              <w:rPr>
                <w:b/>
                <w:sz w:val="22"/>
                <w:szCs w:val="22"/>
              </w:rPr>
              <w:lastRenderedPageBreak/>
              <w:t>Gender Reassignment</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21" w14:textId="77777777" w:rsidR="00FE7086" w:rsidRPr="001A0338" w:rsidRDefault="000B46CE">
            <w:pPr>
              <w:widowControl w:val="0"/>
              <w:spacing w:before="480"/>
              <w:rPr>
                <w:sz w:val="22"/>
                <w:szCs w:val="22"/>
              </w:rPr>
            </w:pPr>
            <w:r w:rsidRPr="001A0338">
              <w:rPr>
                <w:sz w:val="22"/>
                <w:szCs w:val="22"/>
              </w:rPr>
              <w:t>No information available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22" w14:textId="77777777" w:rsidR="00FE7086" w:rsidRPr="001A0338" w:rsidRDefault="00FE7086">
            <w:pPr>
              <w:widowControl w:val="0"/>
              <w:spacing w:before="480"/>
              <w:rPr>
                <w:sz w:val="22"/>
                <w:szCs w:val="22"/>
              </w:rPr>
            </w:pP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23" w14:textId="77777777" w:rsidR="00FE7086" w:rsidRPr="001A0338" w:rsidRDefault="00FE7086">
            <w:pPr>
              <w:widowControl w:val="0"/>
              <w:spacing w:before="480"/>
              <w:rPr>
                <w:sz w:val="22"/>
                <w:szCs w:val="22"/>
              </w:rPr>
            </w:pP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24" w14:textId="37BDD805" w:rsidR="00FE7086" w:rsidRPr="001A0338" w:rsidRDefault="00A719DA" w:rsidP="0099068A">
            <w:pPr>
              <w:widowControl w:val="0"/>
              <w:spacing w:before="480"/>
              <w:rPr>
                <w:sz w:val="22"/>
                <w:szCs w:val="22"/>
              </w:rPr>
            </w:pPr>
            <w:r>
              <w:rPr>
                <w:sz w:val="22"/>
                <w:szCs w:val="22"/>
              </w:rPr>
              <w:t>As above.</w:t>
            </w:r>
          </w:p>
        </w:tc>
      </w:tr>
      <w:tr w:rsidR="00A719DA" w:rsidRPr="001A0338" w14:paraId="72F2A42B" w14:textId="77777777">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A426" w14:textId="77777777" w:rsidR="00A719DA" w:rsidRPr="001A0338" w:rsidRDefault="00A719DA" w:rsidP="00A719DA">
            <w:pPr>
              <w:widowControl w:val="0"/>
              <w:spacing w:before="480"/>
              <w:rPr>
                <w:b/>
                <w:sz w:val="22"/>
                <w:szCs w:val="22"/>
              </w:rPr>
            </w:pPr>
            <w:r w:rsidRPr="001A0338">
              <w:rPr>
                <w:b/>
                <w:sz w:val="22"/>
                <w:szCs w:val="22"/>
              </w:rPr>
              <w:t>Pregnancy and Maternity</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27" w14:textId="77777777" w:rsidR="00A719DA" w:rsidRPr="001A0338" w:rsidRDefault="00A719DA" w:rsidP="00A719DA">
            <w:pPr>
              <w:widowControl w:val="0"/>
              <w:spacing w:before="480"/>
              <w:rPr>
                <w:sz w:val="22"/>
                <w:szCs w:val="22"/>
              </w:rPr>
            </w:pPr>
            <w:r w:rsidRPr="001A0338">
              <w:rPr>
                <w:sz w:val="22"/>
                <w:szCs w:val="22"/>
              </w:rPr>
              <w:t>No information available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28" w14:textId="77777777" w:rsidR="00A719DA" w:rsidRPr="001A0338" w:rsidRDefault="00A719DA" w:rsidP="00A719DA">
            <w:pPr>
              <w:widowControl w:val="0"/>
              <w:spacing w:before="480"/>
              <w:rPr>
                <w:sz w:val="22"/>
                <w:szCs w:val="22"/>
              </w:rPr>
            </w:pP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29" w14:textId="77777777" w:rsidR="00A719DA" w:rsidRPr="001A0338" w:rsidRDefault="00A719DA" w:rsidP="00A719DA">
            <w:pPr>
              <w:widowControl w:val="0"/>
              <w:spacing w:before="480"/>
              <w:rPr>
                <w:sz w:val="22"/>
                <w:szCs w:val="22"/>
              </w:rPr>
            </w:pP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2A" w14:textId="3818000F" w:rsidR="00A719DA" w:rsidRPr="001A0338" w:rsidRDefault="00A719DA" w:rsidP="00A719DA">
            <w:pPr>
              <w:widowControl w:val="0"/>
              <w:spacing w:before="480"/>
              <w:rPr>
                <w:sz w:val="22"/>
                <w:szCs w:val="22"/>
              </w:rPr>
            </w:pPr>
            <w:r w:rsidRPr="00A3032F">
              <w:rPr>
                <w:sz w:val="22"/>
                <w:szCs w:val="22"/>
              </w:rPr>
              <w:t>As above.</w:t>
            </w:r>
          </w:p>
        </w:tc>
      </w:tr>
      <w:tr w:rsidR="00A719DA" w:rsidRPr="001A0338" w14:paraId="72F2A431" w14:textId="77777777">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A42C" w14:textId="77777777" w:rsidR="00A719DA" w:rsidRPr="001A0338" w:rsidRDefault="00A719DA" w:rsidP="00A719DA">
            <w:pPr>
              <w:widowControl w:val="0"/>
              <w:spacing w:before="480"/>
              <w:rPr>
                <w:b/>
                <w:sz w:val="22"/>
                <w:szCs w:val="22"/>
              </w:rPr>
            </w:pPr>
            <w:r w:rsidRPr="001A0338">
              <w:rPr>
                <w:b/>
                <w:sz w:val="22"/>
                <w:szCs w:val="22"/>
              </w:rPr>
              <w:t>Sexual orientation</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2D" w14:textId="77777777" w:rsidR="00A719DA" w:rsidRPr="001A0338" w:rsidRDefault="00A719DA" w:rsidP="00A719DA">
            <w:pPr>
              <w:widowControl w:val="0"/>
              <w:spacing w:before="480"/>
              <w:rPr>
                <w:sz w:val="22"/>
                <w:szCs w:val="22"/>
              </w:rPr>
            </w:pPr>
            <w:r w:rsidRPr="001A0338">
              <w:rPr>
                <w:sz w:val="22"/>
                <w:szCs w:val="22"/>
              </w:rPr>
              <w:t>No information available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2E" w14:textId="77777777" w:rsidR="00A719DA" w:rsidRPr="001A0338" w:rsidRDefault="00A719DA" w:rsidP="00A719DA">
            <w:pPr>
              <w:widowControl w:val="0"/>
              <w:spacing w:before="480"/>
              <w:rPr>
                <w:sz w:val="22"/>
                <w:szCs w:val="22"/>
              </w:rPr>
            </w:pP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2F" w14:textId="77777777" w:rsidR="00A719DA" w:rsidRPr="001A0338" w:rsidRDefault="00A719DA" w:rsidP="00A719DA">
            <w:pPr>
              <w:widowControl w:val="0"/>
              <w:spacing w:before="480"/>
              <w:rPr>
                <w:sz w:val="22"/>
                <w:szCs w:val="22"/>
              </w:rPr>
            </w:pP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30" w14:textId="6E4D72A2" w:rsidR="00A719DA" w:rsidRPr="001A0338" w:rsidRDefault="00A719DA" w:rsidP="00A719DA">
            <w:pPr>
              <w:widowControl w:val="0"/>
              <w:spacing w:before="480"/>
              <w:rPr>
                <w:sz w:val="22"/>
                <w:szCs w:val="22"/>
              </w:rPr>
            </w:pPr>
            <w:r w:rsidRPr="00A3032F">
              <w:rPr>
                <w:sz w:val="22"/>
                <w:szCs w:val="22"/>
              </w:rPr>
              <w:t>As above.</w:t>
            </w:r>
          </w:p>
        </w:tc>
      </w:tr>
      <w:tr w:rsidR="00FE7086" w:rsidRPr="001A0338" w14:paraId="72F2A437" w14:textId="77777777" w:rsidTr="00A719DA">
        <w:trPr>
          <w:trHeight w:val="1896"/>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A432" w14:textId="77777777" w:rsidR="00FE7086" w:rsidRPr="001A0338" w:rsidRDefault="0070536C" w:rsidP="00267FF9">
            <w:pPr>
              <w:widowControl w:val="0"/>
              <w:spacing w:before="480"/>
              <w:rPr>
                <w:b/>
                <w:sz w:val="22"/>
                <w:szCs w:val="22"/>
              </w:rPr>
            </w:pPr>
            <w:r w:rsidRPr="001A0338">
              <w:rPr>
                <w:b/>
                <w:sz w:val="22"/>
                <w:szCs w:val="22"/>
              </w:rPr>
              <w:t>Marriage and Civil Partnership (</w:t>
            </w:r>
            <w:r w:rsidR="00267FF9" w:rsidRPr="001A0338">
              <w:rPr>
                <w:b/>
                <w:sz w:val="22"/>
                <w:szCs w:val="22"/>
              </w:rPr>
              <w:t>NB</w:t>
            </w:r>
            <w:r w:rsidRPr="001A0338">
              <w:rPr>
                <w:b/>
                <w:sz w:val="22"/>
                <w:szCs w:val="22"/>
              </w:rPr>
              <w:t>: only in relation to due regard to eliminating unlawful discrimination)</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33" w14:textId="77777777" w:rsidR="00FE7086" w:rsidRPr="001A0338" w:rsidRDefault="000B46CE">
            <w:pPr>
              <w:widowControl w:val="0"/>
              <w:spacing w:before="480"/>
              <w:rPr>
                <w:sz w:val="22"/>
                <w:szCs w:val="22"/>
              </w:rPr>
            </w:pPr>
            <w:r w:rsidRPr="001A0338">
              <w:rPr>
                <w:sz w:val="22"/>
                <w:szCs w:val="22"/>
              </w:rPr>
              <w:t>No information available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34" w14:textId="77777777" w:rsidR="00FE7086" w:rsidRPr="001A0338" w:rsidRDefault="00FE7086">
            <w:pPr>
              <w:widowControl w:val="0"/>
              <w:spacing w:before="480"/>
              <w:rPr>
                <w:sz w:val="22"/>
                <w:szCs w:val="22"/>
              </w:rPr>
            </w:pP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35" w14:textId="77777777" w:rsidR="00FE7086" w:rsidRPr="001A0338" w:rsidRDefault="00FE7086">
            <w:pPr>
              <w:widowControl w:val="0"/>
              <w:spacing w:before="480"/>
              <w:rPr>
                <w:sz w:val="22"/>
                <w:szCs w:val="22"/>
              </w:rPr>
            </w:pP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36" w14:textId="195C1578" w:rsidR="00FE7086" w:rsidRPr="001A0338" w:rsidRDefault="00A719DA">
            <w:pPr>
              <w:widowControl w:val="0"/>
              <w:spacing w:before="480"/>
              <w:rPr>
                <w:rFonts w:ascii="Cambria" w:eastAsia="Cambria" w:hAnsi="Cambria" w:cs="Cambria"/>
                <w:color w:val="366091"/>
              </w:rPr>
            </w:pPr>
            <w:r>
              <w:rPr>
                <w:sz w:val="22"/>
                <w:szCs w:val="22"/>
              </w:rPr>
              <w:t>As above.</w:t>
            </w:r>
          </w:p>
        </w:tc>
      </w:tr>
    </w:tbl>
    <w:p w14:paraId="72F2A438" w14:textId="77777777" w:rsidR="00FE7086" w:rsidRPr="001A0338" w:rsidRDefault="00FE7086">
      <w:pPr>
        <w:widowControl w:val="0"/>
        <w:pBdr>
          <w:top w:val="nil"/>
          <w:left w:val="nil"/>
          <w:bottom w:val="nil"/>
          <w:right w:val="nil"/>
          <w:between w:val="nil"/>
        </w:pBdr>
        <w:spacing w:after="0"/>
        <w:rPr>
          <w:b/>
          <w:sz w:val="22"/>
          <w:szCs w:val="22"/>
        </w:rPr>
      </w:pPr>
    </w:p>
    <w:tbl>
      <w:tblPr>
        <w:tblStyle w:val="a2"/>
        <w:tblW w:w="14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5"/>
        <w:gridCol w:w="2693"/>
        <w:gridCol w:w="3686"/>
      </w:tblGrid>
      <w:tr w:rsidR="00FE7086" w:rsidRPr="001A0338" w14:paraId="72F2A43A" w14:textId="77777777">
        <w:tc>
          <w:tcPr>
            <w:tcW w:w="1413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2A439" w14:textId="77777777" w:rsidR="00FE7086" w:rsidRPr="001A0338" w:rsidRDefault="0070536C">
            <w:pPr>
              <w:widowControl w:val="0"/>
              <w:jc w:val="center"/>
              <w:rPr>
                <w:b/>
                <w:sz w:val="22"/>
                <w:szCs w:val="22"/>
              </w:rPr>
            </w:pPr>
            <w:r w:rsidRPr="001A0338">
              <w:rPr>
                <w:b/>
                <w:sz w:val="22"/>
                <w:szCs w:val="22"/>
              </w:rPr>
              <w:lastRenderedPageBreak/>
              <w:t>(16) Outcomes of Equality Impact Assessment</w:t>
            </w:r>
          </w:p>
        </w:tc>
      </w:tr>
      <w:tr w:rsidR="00FE7086" w:rsidRPr="001A0338" w14:paraId="72F2A43E" w14:textId="77777777">
        <w:tc>
          <w:tcPr>
            <w:tcW w:w="7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A43B" w14:textId="77777777" w:rsidR="00FE7086" w:rsidRPr="001A0338" w:rsidRDefault="0070536C">
            <w:pPr>
              <w:widowControl w:val="0"/>
              <w:jc w:val="center"/>
              <w:rPr>
                <w:b/>
                <w:sz w:val="22"/>
                <w:szCs w:val="22"/>
              </w:rPr>
            </w:pPr>
            <w:r w:rsidRPr="001A0338">
              <w:rPr>
                <w:b/>
                <w:sz w:val="22"/>
                <w:szCs w:val="22"/>
              </w:rPr>
              <w:t>Action</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3C" w14:textId="77777777" w:rsidR="00FE7086" w:rsidRPr="001A0338" w:rsidRDefault="0070536C">
            <w:pPr>
              <w:widowControl w:val="0"/>
              <w:jc w:val="center"/>
              <w:rPr>
                <w:b/>
                <w:sz w:val="22"/>
                <w:szCs w:val="22"/>
              </w:rPr>
            </w:pPr>
            <w:r w:rsidRPr="001A0338">
              <w:rPr>
                <w:b/>
                <w:sz w:val="22"/>
                <w:szCs w:val="22"/>
              </w:rPr>
              <w:t>Timescale</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3D" w14:textId="77777777" w:rsidR="00FE7086" w:rsidRPr="001A0338" w:rsidRDefault="0070536C">
            <w:pPr>
              <w:widowControl w:val="0"/>
              <w:jc w:val="center"/>
              <w:rPr>
                <w:b/>
                <w:sz w:val="22"/>
                <w:szCs w:val="22"/>
              </w:rPr>
            </w:pPr>
            <w:r w:rsidRPr="001A0338">
              <w:rPr>
                <w:b/>
                <w:sz w:val="22"/>
                <w:szCs w:val="22"/>
              </w:rPr>
              <w:t>Responsibility</w:t>
            </w:r>
          </w:p>
        </w:tc>
      </w:tr>
      <w:tr w:rsidR="00FE7086" w:rsidRPr="001A0338" w14:paraId="72F2A442" w14:textId="77777777">
        <w:tc>
          <w:tcPr>
            <w:tcW w:w="7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2A43F" w14:textId="0AAB6632" w:rsidR="00FE7086" w:rsidRPr="001A0338" w:rsidRDefault="00745520" w:rsidP="0015756B">
            <w:pPr>
              <w:widowControl w:val="0"/>
              <w:rPr>
                <w:b/>
                <w:sz w:val="22"/>
                <w:szCs w:val="22"/>
              </w:rPr>
            </w:pPr>
            <w:r w:rsidRPr="001A0338">
              <w:rPr>
                <w:b/>
                <w:sz w:val="22"/>
                <w:szCs w:val="22"/>
              </w:rPr>
              <w:t>E</w:t>
            </w:r>
            <w:r w:rsidR="005A3D8F" w:rsidRPr="001A0338">
              <w:rPr>
                <w:b/>
                <w:sz w:val="22"/>
                <w:szCs w:val="22"/>
              </w:rPr>
              <w:t>ngagement is required with all groups within t</w:t>
            </w:r>
            <w:r w:rsidR="0015756B" w:rsidRPr="001A0338">
              <w:rPr>
                <w:b/>
                <w:sz w:val="22"/>
                <w:szCs w:val="22"/>
              </w:rPr>
              <w:t>he Protected C</w:t>
            </w:r>
            <w:r w:rsidR="005A3D8F" w:rsidRPr="001A0338">
              <w:rPr>
                <w:b/>
                <w:sz w:val="22"/>
                <w:szCs w:val="22"/>
              </w:rPr>
              <w:t>hara</w:t>
            </w:r>
            <w:r w:rsidR="0015756B" w:rsidRPr="001A0338">
              <w:rPr>
                <w:b/>
                <w:sz w:val="22"/>
                <w:szCs w:val="22"/>
              </w:rPr>
              <w:t xml:space="preserve">cteristics in order to identify health and wellbeing needs. </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40" w14:textId="291A7BD3" w:rsidR="00FE7086" w:rsidRPr="001A0338" w:rsidRDefault="008D0411">
            <w:pPr>
              <w:widowControl w:val="0"/>
              <w:rPr>
                <w:b/>
                <w:sz w:val="22"/>
                <w:szCs w:val="22"/>
              </w:rPr>
            </w:pPr>
            <w:r>
              <w:rPr>
                <w:b/>
                <w:sz w:val="22"/>
                <w:szCs w:val="22"/>
              </w:rPr>
              <w:t>November</w:t>
            </w:r>
            <w:r w:rsidR="000B0D32" w:rsidRPr="001A0338">
              <w:rPr>
                <w:b/>
                <w:sz w:val="22"/>
                <w:szCs w:val="22"/>
              </w:rPr>
              <w:t xml:space="preserve"> 20</w:t>
            </w:r>
            <w:r w:rsidR="0015756B" w:rsidRPr="001A0338">
              <w:rPr>
                <w:b/>
                <w:sz w:val="22"/>
                <w:szCs w:val="22"/>
              </w:rPr>
              <w:t xml:space="preserve"> – </w:t>
            </w:r>
            <w:r w:rsidRPr="001A0338">
              <w:rPr>
                <w:b/>
                <w:sz w:val="22"/>
                <w:szCs w:val="22"/>
              </w:rPr>
              <w:t>J</w:t>
            </w:r>
            <w:r>
              <w:rPr>
                <w:b/>
                <w:sz w:val="22"/>
                <w:szCs w:val="22"/>
              </w:rPr>
              <w:t>anuary</w:t>
            </w:r>
            <w:r w:rsidR="0015756B" w:rsidRPr="001A0338">
              <w:rPr>
                <w:b/>
                <w:sz w:val="22"/>
                <w:szCs w:val="22"/>
              </w:rPr>
              <w:t xml:space="preserve"> 2</w:t>
            </w:r>
            <w:r>
              <w:rPr>
                <w:b/>
                <w:sz w:val="22"/>
                <w:szCs w:val="22"/>
              </w:rPr>
              <w:t>1</w:t>
            </w:r>
            <w:r w:rsidR="0037282E">
              <w:rPr>
                <w:b/>
                <w:sz w:val="22"/>
                <w:szCs w:val="22"/>
              </w:rPr>
              <w:t xml:space="preserve"> </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441" w14:textId="5D695984" w:rsidR="00FE7086" w:rsidRPr="001A0338" w:rsidRDefault="0015756B">
            <w:pPr>
              <w:widowControl w:val="0"/>
              <w:rPr>
                <w:b/>
                <w:sz w:val="22"/>
                <w:szCs w:val="22"/>
              </w:rPr>
            </w:pPr>
            <w:r w:rsidRPr="001A0338">
              <w:rPr>
                <w:b/>
                <w:sz w:val="22"/>
                <w:szCs w:val="22"/>
              </w:rPr>
              <w:t>Public Health</w:t>
            </w:r>
          </w:p>
        </w:tc>
      </w:tr>
    </w:tbl>
    <w:p w14:paraId="72F2A447" w14:textId="77777777" w:rsidR="00FE7086" w:rsidRDefault="00FE7086">
      <w:pPr>
        <w:widowControl w:val="0"/>
        <w:pBdr>
          <w:top w:val="nil"/>
          <w:left w:val="nil"/>
          <w:bottom w:val="nil"/>
          <w:right w:val="nil"/>
          <w:between w:val="nil"/>
        </w:pBdr>
        <w:spacing w:after="0"/>
        <w:rPr>
          <w:b/>
        </w:rPr>
        <w:sectPr w:rsidR="00FE7086">
          <w:headerReference w:type="even" r:id="rId13"/>
          <w:headerReference w:type="default" r:id="rId14"/>
          <w:footerReference w:type="even" r:id="rId15"/>
          <w:footerReference w:type="default" r:id="rId16"/>
          <w:headerReference w:type="first" r:id="rId17"/>
          <w:footerReference w:type="first" r:id="rId18"/>
          <w:pgSz w:w="16838" w:h="11906"/>
          <w:pgMar w:top="1440" w:right="1440" w:bottom="1440" w:left="1440" w:header="566" w:footer="566" w:gutter="0"/>
          <w:pgNumType w:start="1"/>
          <w:cols w:space="720"/>
        </w:sectPr>
      </w:pPr>
    </w:p>
    <w:p w14:paraId="72F2A448" w14:textId="77777777" w:rsidR="00FE7086" w:rsidRDefault="00FE7086">
      <w:pPr>
        <w:widowControl w:val="0"/>
        <w:pBdr>
          <w:top w:val="nil"/>
          <w:left w:val="nil"/>
          <w:bottom w:val="nil"/>
          <w:right w:val="nil"/>
          <w:between w:val="nil"/>
        </w:pBdr>
        <w:spacing w:after="0"/>
        <w:rPr>
          <w:b/>
        </w:rPr>
      </w:pPr>
    </w:p>
    <w:tbl>
      <w:tblPr>
        <w:tblStyle w:val="a3"/>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17"/>
        <w:gridCol w:w="7348"/>
      </w:tblGrid>
      <w:tr w:rsidR="00FE7086" w14:paraId="72F2A44B" w14:textId="77777777">
        <w:tc>
          <w:tcPr>
            <w:tcW w:w="2817" w:type="dxa"/>
            <w:shd w:val="clear" w:color="auto" w:fill="auto"/>
            <w:tcMar>
              <w:top w:w="100" w:type="dxa"/>
              <w:left w:w="100" w:type="dxa"/>
              <w:bottom w:w="100" w:type="dxa"/>
              <w:right w:w="100" w:type="dxa"/>
            </w:tcMar>
          </w:tcPr>
          <w:p w14:paraId="72F2A449" w14:textId="77777777" w:rsidR="00FE7086" w:rsidRDefault="0070536C">
            <w:pPr>
              <w:widowControl w:val="0"/>
              <w:pBdr>
                <w:top w:val="nil"/>
                <w:left w:val="nil"/>
                <w:bottom w:val="nil"/>
                <w:right w:val="nil"/>
                <w:between w:val="nil"/>
              </w:pBdr>
              <w:rPr>
                <w:b/>
              </w:rPr>
            </w:pPr>
            <w:r>
              <w:rPr>
                <w:b/>
              </w:rPr>
              <w:t>Date of Next Review</w:t>
            </w:r>
          </w:p>
        </w:tc>
        <w:tc>
          <w:tcPr>
            <w:tcW w:w="7348" w:type="dxa"/>
            <w:shd w:val="clear" w:color="auto" w:fill="auto"/>
            <w:tcMar>
              <w:top w:w="100" w:type="dxa"/>
              <w:left w:w="100" w:type="dxa"/>
              <w:bottom w:w="100" w:type="dxa"/>
              <w:right w:w="100" w:type="dxa"/>
            </w:tcMar>
          </w:tcPr>
          <w:p w14:paraId="72F2A44A" w14:textId="0FF384FC" w:rsidR="00FE7086" w:rsidRDefault="008D0411">
            <w:pPr>
              <w:widowControl w:val="0"/>
              <w:pBdr>
                <w:top w:val="nil"/>
                <w:left w:val="nil"/>
                <w:bottom w:val="nil"/>
                <w:right w:val="nil"/>
                <w:between w:val="nil"/>
              </w:pBdr>
              <w:rPr>
                <w:b/>
              </w:rPr>
            </w:pPr>
            <w:r>
              <w:rPr>
                <w:b/>
              </w:rPr>
              <w:t>January 2020</w:t>
            </w:r>
          </w:p>
        </w:tc>
      </w:tr>
    </w:tbl>
    <w:p w14:paraId="72F2A44C" w14:textId="77777777" w:rsidR="00FE7086" w:rsidRDefault="00FE7086">
      <w:pPr>
        <w:tabs>
          <w:tab w:val="left" w:pos="1055"/>
        </w:tabs>
        <w:rPr>
          <w:b/>
        </w:rPr>
      </w:pPr>
    </w:p>
    <w:tbl>
      <w:tblPr>
        <w:tblStyle w:val="a4"/>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136"/>
      </w:tblGrid>
      <w:tr w:rsidR="00FE7086" w14:paraId="72F2A44F" w14:textId="77777777" w:rsidTr="00D514C3">
        <w:trPr>
          <w:trHeight w:val="741"/>
        </w:trPr>
        <w:tc>
          <w:tcPr>
            <w:tcW w:w="5070" w:type="dxa"/>
          </w:tcPr>
          <w:p w14:paraId="72F2A44D" w14:textId="77777777" w:rsidR="00FE7086" w:rsidRDefault="0070536C">
            <w:pPr>
              <w:spacing w:after="200" w:line="276" w:lineRule="auto"/>
              <w:rPr>
                <w:b/>
              </w:rPr>
            </w:pPr>
            <w:r>
              <w:rPr>
                <w:b/>
              </w:rPr>
              <w:t>Name and signature of Officer completing the EIA</w:t>
            </w:r>
          </w:p>
        </w:tc>
        <w:tc>
          <w:tcPr>
            <w:tcW w:w="5136" w:type="dxa"/>
          </w:tcPr>
          <w:p w14:paraId="72F2A44E" w14:textId="685DA384" w:rsidR="00FE7086" w:rsidRDefault="008D0411">
            <w:pPr>
              <w:spacing w:after="200" w:line="276" w:lineRule="auto"/>
              <w:rPr>
                <w:b/>
              </w:rPr>
            </w:pPr>
            <w:r>
              <w:rPr>
                <w:b/>
              </w:rPr>
              <w:t>Gemma McKinnon</w:t>
            </w:r>
          </w:p>
        </w:tc>
      </w:tr>
      <w:tr w:rsidR="00FE7086" w14:paraId="72F2A452" w14:textId="77777777" w:rsidTr="00D514C3">
        <w:trPr>
          <w:trHeight w:val="544"/>
        </w:trPr>
        <w:tc>
          <w:tcPr>
            <w:tcW w:w="5070" w:type="dxa"/>
          </w:tcPr>
          <w:p w14:paraId="72F2A450" w14:textId="77777777" w:rsidR="00FE7086" w:rsidRDefault="0070536C">
            <w:pPr>
              <w:spacing w:after="200" w:line="276" w:lineRule="auto"/>
              <w:rPr>
                <w:b/>
              </w:rPr>
            </w:pPr>
            <w:r>
              <w:rPr>
                <w:b/>
              </w:rPr>
              <w:t>Name and signature of Assistant Director</w:t>
            </w:r>
          </w:p>
        </w:tc>
        <w:tc>
          <w:tcPr>
            <w:tcW w:w="5136" w:type="dxa"/>
          </w:tcPr>
          <w:p w14:paraId="72F2A451" w14:textId="46EEFDDB" w:rsidR="00FE7086" w:rsidRDefault="009A5BB2">
            <w:pPr>
              <w:spacing w:after="200" w:line="276" w:lineRule="auto"/>
              <w:rPr>
                <w:b/>
              </w:rPr>
            </w:pPr>
            <w:r>
              <w:rPr>
                <w:b/>
              </w:rPr>
              <w:t>Shade Agboola</w:t>
            </w:r>
          </w:p>
        </w:tc>
      </w:tr>
      <w:tr w:rsidR="00FE7086" w14:paraId="72F2A455" w14:textId="77777777">
        <w:trPr>
          <w:trHeight w:val="620"/>
        </w:trPr>
        <w:tc>
          <w:tcPr>
            <w:tcW w:w="5070" w:type="dxa"/>
          </w:tcPr>
          <w:p w14:paraId="72F2A453" w14:textId="77777777" w:rsidR="00FE7086" w:rsidRDefault="0070536C">
            <w:pPr>
              <w:spacing w:after="200" w:line="276" w:lineRule="auto"/>
              <w:rPr>
                <w:b/>
              </w:rPr>
            </w:pPr>
            <w:r>
              <w:rPr>
                <w:b/>
              </w:rPr>
              <w:t>Name and signature of Directorate Equalities Champion</w:t>
            </w:r>
          </w:p>
        </w:tc>
        <w:tc>
          <w:tcPr>
            <w:tcW w:w="5136" w:type="dxa"/>
          </w:tcPr>
          <w:p w14:paraId="72F2A454" w14:textId="77777777" w:rsidR="00FE7086" w:rsidRDefault="00FE7086" w:rsidP="0099068A">
            <w:pPr>
              <w:spacing w:after="200" w:line="276" w:lineRule="auto"/>
              <w:rPr>
                <w:b/>
              </w:rPr>
            </w:pPr>
          </w:p>
        </w:tc>
      </w:tr>
    </w:tbl>
    <w:p w14:paraId="72F2A456" w14:textId="77777777" w:rsidR="00FE7086" w:rsidRDefault="00FE7086">
      <w:pPr>
        <w:rPr>
          <w:b/>
        </w:rPr>
      </w:pPr>
    </w:p>
    <w:p w14:paraId="72F2A457" w14:textId="77777777" w:rsidR="00FE7086" w:rsidRDefault="0070536C">
      <w:pPr>
        <w:jc w:val="center"/>
        <w:rPr>
          <w:b/>
          <w:i/>
        </w:rPr>
      </w:pPr>
      <w:r>
        <w:rPr>
          <w:b/>
          <w:i/>
        </w:rPr>
        <w:t xml:space="preserve">If you would like any equalities support or advice on this completed document, please contact the Equalities Team on 01926 412370 or </w:t>
      </w:r>
      <w:hyperlink r:id="rId19">
        <w:r>
          <w:rPr>
            <w:b/>
            <w:i/>
            <w:color w:val="0000FF"/>
            <w:u w:val="single"/>
          </w:rPr>
          <w:t>equalities@warwickshire.gov.uk</w:t>
        </w:r>
      </w:hyperlink>
    </w:p>
    <w:p w14:paraId="72F2A458" w14:textId="77777777" w:rsidR="00FE7086" w:rsidRDefault="00FE7086">
      <w:pPr>
        <w:spacing w:after="0" w:line="240" w:lineRule="auto"/>
        <w:jc w:val="center"/>
        <w:rPr>
          <w:b/>
          <w:i/>
        </w:rPr>
      </w:pPr>
    </w:p>
    <w:p w14:paraId="72F2A45E" w14:textId="053164F5" w:rsidR="00FE7086" w:rsidRDefault="00FE7086" w:rsidP="00E15D11">
      <w:pPr>
        <w:spacing w:after="0" w:line="240" w:lineRule="auto"/>
        <w:rPr>
          <w:b/>
          <w:i/>
          <w:sz w:val="28"/>
          <w:szCs w:val="28"/>
        </w:rPr>
      </w:pPr>
      <w:bookmarkStart w:id="1" w:name="_gjdgxs" w:colFirst="0" w:colLast="0"/>
      <w:bookmarkEnd w:id="1"/>
    </w:p>
    <w:sectPr w:rsidR="00FE7086">
      <w:type w:val="continuous"/>
      <w:pgSz w:w="16838" w:h="11906"/>
      <w:pgMar w:top="1440" w:right="1440" w:bottom="1440" w:left="1440" w:header="566" w:footer="566"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0372D0" w16cex:dateUtc="2020-03-06T14:48:04.7Z"/>
  <w16cex:commentExtensible w16cex:durableId="25FA0736" w16cex:dateUtc="2020-03-06T14:50:23.095Z"/>
  <w16cex:commentExtensible w16cex:durableId="5EDEC619" w16cex:dateUtc="2020-03-06T14:52:50.26Z"/>
  <w16cex:commentExtensible w16cex:durableId="09258048" w16cex:dateUtc="2020-03-06T14:53:36.548Z"/>
  <w16cex:commentExtensible w16cex:durableId="4088407B" w16cex:dateUtc="2020-03-06T14:54:32.974Z"/>
  <w16cex:commentExtensible w16cex:durableId="091095E5" w16cex:dateUtc="2020-03-06T14:55:22.728Z"/>
  <w16cex:commentExtensible w16cex:durableId="3B9D292E" w16cex:dateUtc="2020-03-09T09:35:26.3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8C5E0" w14:textId="77777777" w:rsidR="005C77AE" w:rsidRDefault="005C77AE">
      <w:pPr>
        <w:spacing w:after="0" w:line="240" w:lineRule="auto"/>
      </w:pPr>
      <w:r>
        <w:separator/>
      </w:r>
    </w:p>
  </w:endnote>
  <w:endnote w:type="continuationSeparator" w:id="0">
    <w:p w14:paraId="6FD9BED4" w14:textId="77777777" w:rsidR="005C77AE" w:rsidRDefault="005C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A465" w14:textId="77777777" w:rsidR="00FE7086" w:rsidRDefault="00FE708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A466" w14:textId="77777777" w:rsidR="00FE7086" w:rsidRDefault="0070536C">
    <w:pPr>
      <w:pBdr>
        <w:top w:val="nil"/>
        <w:left w:val="nil"/>
        <w:bottom w:val="nil"/>
        <w:right w:val="nil"/>
        <w:between w:val="nil"/>
      </w:pBdr>
      <w:tabs>
        <w:tab w:val="left" w:pos="6695"/>
      </w:tabs>
      <w:spacing w:after="0" w:line="240" w:lineRule="auto"/>
      <w:rPr>
        <w:color w:val="000000"/>
      </w:rPr>
    </w:pPr>
    <w:r>
      <w:rPr>
        <w:color w:val="000000"/>
      </w:rPr>
      <w:tab/>
    </w:r>
    <w:r w:rsidR="4C29A0A8">
      <w:rPr>
        <w:color w:val="000000"/>
      </w:rPr>
      <w:t xml:space="preserve">Page </w:t>
    </w:r>
    <w:r w:rsidRPr="4C29A0A8">
      <w:rPr>
        <w:b/>
        <w:bCs/>
        <w:color w:val="000000"/>
      </w:rPr>
      <w:fldChar w:fldCharType="begin"/>
    </w:r>
    <w:r w:rsidRPr="4C29A0A8">
      <w:rPr>
        <w:b/>
        <w:bCs/>
        <w:color w:val="000000"/>
      </w:rPr>
      <w:instrText>PAGE</w:instrText>
    </w:r>
    <w:r w:rsidRPr="4C29A0A8">
      <w:rPr>
        <w:b/>
        <w:bCs/>
        <w:color w:val="000000"/>
      </w:rPr>
      <w:fldChar w:fldCharType="separate"/>
    </w:r>
    <w:r w:rsidR="4C29A0A8" w:rsidRPr="4C29A0A8">
      <w:rPr>
        <w:b/>
        <w:bCs/>
        <w:noProof/>
        <w:color w:val="000000"/>
      </w:rPr>
      <w:t>1</w:t>
    </w:r>
    <w:r w:rsidRPr="4C29A0A8">
      <w:rPr>
        <w:b/>
        <w:bCs/>
        <w:color w:val="000000"/>
      </w:rPr>
      <w:fldChar w:fldCharType="end"/>
    </w:r>
    <w:r w:rsidR="4C29A0A8">
      <w:rPr>
        <w:color w:val="000000"/>
      </w:rPr>
      <w:t xml:space="preserve"> of </w:t>
    </w:r>
    <w:r w:rsidRPr="4C29A0A8">
      <w:rPr>
        <w:b/>
        <w:bCs/>
        <w:color w:val="000000"/>
      </w:rPr>
      <w:fldChar w:fldCharType="begin"/>
    </w:r>
    <w:r w:rsidRPr="4C29A0A8">
      <w:rPr>
        <w:b/>
        <w:bCs/>
        <w:color w:val="000000"/>
      </w:rPr>
      <w:instrText>NUMPAGES</w:instrText>
    </w:r>
    <w:r w:rsidRPr="4C29A0A8">
      <w:rPr>
        <w:b/>
        <w:bCs/>
        <w:color w:val="000000"/>
      </w:rPr>
      <w:fldChar w:fldCharType="separate"/>
    </w:r>
    <w:r w:rsidR="4C29A0A8" w:rsidRPr="4C29A0A8">
      <w:rPr>
        <w:b/>
        <w:bCs/>
        <w:noProof/>
        <w:color w:val="000000"/>
      </w:rPr>
      <w:t>11</w:t>
    </w:r>
    <w:r w:rsidRPr="4C29A0A8">
      <w:rPr>
        <w:b/>
        <w:bCs/>
        <w:color w:val="000000"/>
      </w:rPr>
      <w:fldChar w:fldCharType="end"/>
    </w:r>
    <w:r>
      <w:rPr>
        <w:color w:val="000000"/>
      </w:rPr>
      <w:tab/>
    </w:r>
    <w:r>
      <w:rPr>
        <w:noProof/>
      </w:rPr>
      <w:drawing>
        <wp:anchor distT="0" distB="0" distL="114300" distR="114300" simplePos="0" relativeHeight="251658240" behindDoc="0" locked="0" layoutInCell="1" hidden="0" allowOverlap="1" wp14:anchorId="72F2A46A" wp14:editId="72F2A46B">
          <wp:simplePos x="0" y="0"/>
          <wp:positionH relativeFrom="column">
            <wp:posOffset>-387346</wp:posOffset>
          </wp:positionH>
          <wp:positionV relativeFrom="paragraph">
            <wp:posOffset>-166367</wp:posOffset>
          </wp:positionV>
          <wp:extent cx="1311275" cy="6248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1275" cy="624840"/>
                  </a:xfrm>
                  <a:prstGeom prst="rect">
                    <a:avLst/>
                  </a:prstGeom>
                  <a:ln/>
                </pic:spPr>
              </pic:pic>
            </a:graphicData>
          </a:graphic>
        </wp:anchor>
      </w:drawing>
    </w:r>
  </w:p>
  <w:p w14:paraId="72F2A467" w14:textId="77777777" w:rsidR="00FE7086" w:rsidRDefault="00FE7086">
    <w:pPr>
      <w:pBdr>
        <w:top w:val="nil"/>
        <w:left w:val="nil"/>
        <w:bottom w:val="nil"/>
        <w:right w:val="nil"/>
        <w:between w:val="nil"/>
      </w:pBdr>
      <w:tabs>
        <w:tab w:val="left" w:pos="2057"/>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A469" w14:textId="77777777" w:rsidR="00FE7086" w:rsidRDefault="00FE708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FC52" w14:textId="77777777" w:rsidR="005C77AE" w:rsidRDefault="005C77AE">
      <w:pPr>
        <w:spacing w:after="0" w:line="240" w:lineRule="auto"/>
      </w:pPr>
      <w:r>
        <w:separator/>
      </w:r>
    </w:p>
  </w:footnote>
  <w:footnote w:type="continuationSeparator" w:id="0">
    <w:p w14:paraId="387B49F6" w14:textId="77777777" w:rsidR="005C77AE" w:rsidRDefault="005C7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A463" w14:textId="77777777" w:rsidR="00FE7086" w:rsidRDefault="00FE708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A464" w14:textId="77777777" w:rsidR="00FE7086" w:rsidRDefault="00FE7086">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A468" w14:textId="77777777" w:rsidR="00FE7086" w:rsidRDefault="00FE708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54AC"/>
    <w:multiLevelType w:val="hybridMultilevel"/>
    <w:tmpl w:val="3E081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C446D5"/>
    <w:multiLevelType w:val="multilevel"/>
    <w:tmpl w:val="59242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587D97"/>
    <w:multiLevelType w:val="hybridMultilevel"/>
    <w:tmpl w:val="C420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27F0B"/>
    <w:multiLevelType w:val="multilevel"/>
    <w:tmpl w:val="57A60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8C31EE"/>
    <w:multiLevelType w:val="hybridMultilevel"/>
    <w:tmpl w:val="7DE42B2E"/>
    <w:lvl w:ilvl="0" w:tplc="E1947350">
      <w:start w:val="1"/>
      <w:numFmt w:val="decimal"/>
      <w:lvlText w:val="%1."/>
      <w:lvlJc w:val="left"/>
      <w:pPr>
        <w:ind w:left="360" w:hanging="360"/>
      </w:pPr>
      <w:rPr>
        <w:u w:val="none"/>
      </w:rPr>
    </w:lvl>
    <w:lvl w:ilvl="1" w:tplc="60B43618">
      <w:start w:val="1"/>
      <w:numFmt w:val="lowerLetter"/>
      <w:lvlText w:val="%2."/>
      <w:lvlJc w:val="left"/>
      <w:pPr>
        <w:ind w:left="1080" w:hanging="360"/>
      </w:pPr>
      <w:rPr>
        <w:u w:val="none"/>
      </w:rPr>
    </w:lvl>
    <w:lvl w:ilvl="2" w:tplc="97783D74">
      <w:start w:val="1"/>
      <w:numFmt w:val="lowerRoman"/>
      <w:lvlText w:val="%3."/>
      <w:lvlJc w:val="right"/>
      <w:pPr>
        <w:ind w:left="1800" w:hanging="360"/>
      </w:pPr>
      <w:rPr>
        <w:u w:val="none"/>
      </w:rPr>
    </w:lvl>
    <w:lvl w:ilvl="3" w:tplc="EC02B8BA">
      <w:start w:val="1"/>
      <w:numFmt w:val="decimal"/>
      <w:lvlText w:val="%4."/>
      <w:lvlJc w:val="left"/>
      <w:pPr>
        <w:ind w:left="2520" w:hanging="360"/>
      </w:pPr>
      <w:rPr>
        <w:u w:val="none"/>
      </w:rPr>
    </w:lvl>
    <w:lvl w:ilvl="4" w:tplc="28EC2B3A">
      <w:start w:val="1"/>
      <w:numFmt w:val="lowerLetter"/>
      <w:lvlText w:val="%5."/>
      <w:lvlJc w:val="left"/>
      <w:pPr>
        <w:ind w:left="3240" w:hanging="360"/>
      </w:pPr>
      <w:rPr>
        <w:u w:val="none"/>
      </w:rPr>
    </w:lvl>
    <w:lvl w:ilvl="5" w:tplc="C4EE6A1E">
      <w:start w:val="1"/>
      <w:numFmt w:val="lowerRoman"/>
      <w:lvlText w:val="%6."/>
      <w:lvlJc w:val="right"/>
      <w:pPr>
        <w:ind w:left="3960" w:hanging="360"/>
      </w:pPr>
      <w:rPr>
        <w:u w:val="none"/>
      </w:rPr>
    </w:lvl>
    <w:lvl w:ilvl="6" w:tplc="8514EE70">
      <w:start w:val="1"/>
      <w:numFmt w:val="decimal"/>
      <w:lvlText w:val="%7."/>
      <w:lvlJc w:val="left"/>
      <w:pPr>
        <w:ind w:left="4680" w:hanging="360"/>
      </w:pPr>
      <w:rPr>
        <w:u w:val="none"/>
      </w:rPr>
    </w:lvl>
    <w:lvl w:ilvl="7" w:tplc="F53EEA4E">
      <w:start w:val="1"/>
      <w:numFmt w:val="lowerLetter"/>
      <w:lvlText w:val="%8."/>
      <w:lvlJc w:val="left"/>
      <w:pPr>
        <w:ind w:left="5400" w:hanging="360"/>
      </w:pPr>
      <w:rPr>
        <w:u w:val="none"/>
      </w:rPr>
    </w:lvl>
    <w:lvl w:ilvl="8" w:tplc="43FA5F6A">
      <w:start w:val="1"/>
      <w:numFmt w:val="lowerRoman"/>
      <w:lvlText w:val="%9."/>
      <w:lvlJc w:val="right"/>
      <w:pPr>
        <w:ind w:left="6120" w:hanging="360"/>
      </w:pPr>
      <w:rPr>
        <w:u w:val="none"/>
      </w:rPr>
    </w:lvl>
  </w:abstractNum>
  <w:abstractNum w:abstractNumId="5" w15:restartNumberingAfterBreak="0">
    <w:nsid w:val="41F22C7A"/>
    <w:multiLevelType w:val="hybridMultilevel"/>
    <w:tmpl w:val="FC3E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C7FBA"/>
    <w:multiLevelType w:val="multilevel"/>
    <w:tmpl w:val="B7E41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890C42"/>
    <w:multiLevelType w:val="multilevel"/>
    <w:tmpl w:val="D74A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3C53A6"/>
    <w:multiLevelType w:val="hybridMultilevel"/>
    <w:tmpl w:val="A6022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695B09"/>
    <w:multiLevelType w:val="multilevel"/>
    <w:tmpl w:val="5B76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0C5399"/>
    <w:multiLevelType w:val="hybridMultilevel"/>
    <w:tmpl w:val="F32A4AB8"/>
    <w:lvl w:ilvl="0" w:tplc="2D00C590">
      <w:start w:val="1"/>
      <w:numFmt w:val="bullet"/>
      <w:lvlText w:val="●"/>
      <w:lvlJc w:val="left"/>
      <w:pPr>
        <w:ind w:left="360" w:hanging="360"/>
      </w:pPr>
      <w:rPr>
        <w:rFonts w:ascii="Noto Sans Symbols" w:hAnsi="Noto Sans Symbols" w:hint="default"/>
        <w:b w:val="0"/>
        <w:color w:val="000000"/>
        <w:sz w:val="20"/>
        <w:szCs w:val="20"/>
      </w:rPr>
    </w:lvl>
    <w:lvl w:ilvl="1" w:tplc="D174DEEC">
      <w:start w:val="1"/>
      <w:numFmt w:val="bullet"/>
      <w:lvlText w:val="●"/>
      <w:lvlJc w:val="left"/>
      <w:pPr>
        <w:ind w:left="1080" w:hanging="360"/>
      </w:pPr>
      <w:rPr>
        <w:rFonts w:ascii="Noto Sans Symbols" w:eastAsia="Noto Sans Symbols" w:hAnsi="Noto Sans Symbols" w:cs="Noto Sans Symbols"/>
        <w:sz w:val="20"/>
        <w:szCs w:val="20"/>
      </w:rPr>
    </w:lvl>
    <w:lvl w:ilvl="2" w:tplc="C28C2E50">
      <w:start w:val="1"/>
      <w:numFmt w:val="bullet"/>
      <w:lvlText w:val="●"/>
      <w:lvlJc w:val="left"/>
      <w:pPr>
        <w:ind w:left="1800" w:hanging="360"/>
      </w:pPr>
      <w:rPr>
        <w:rFonts w:ascii="Noto Sans Symbols" w:eastAsia="Noto Sans Symbols" w:hAnsi="Noto Sans Symbols" w:cs="Noto Sans Symbols"/>
        <w:sz w:val="20"/>
        <w:szCs w:val="20"/>
      </w:rPr>
    </w:lvl>
    <w:lvl w:ilvl="3" w:tplc="0CF094B4">
      <w:start w:val="1"/>
      <w:numFmt w:val="bullet"/>
      <w:lvlText w:val="●"/>
      <w:lvlJc w:val="left"/>
      <w:pPr>
        <w:ind w:left="2520" w:hanging="360"/>
      </w:pPr>
      <w:rPr>
        <w:rFonts w:ascii="Noto Sans Symbols" w:eastAsia="Noto Sans Symbols" w:hAnsi="Noto Sans Symbols" w:cs="Noto Sans Symbols"/>
        <w:sz w:val="20"/>
        <w:szCs w:val="20"/>
      </w:rPr>
    </w:lvl>
    <w:lvl w:ilvl="4" w:tplc="4B989882">
      <w:start w:val="1"/>
      <w:numFmt w:val="bullet"/>
      <w:lvlText w:val="●"/>
      <w:lvlJc w:val="left"/>
      <w:pPr>
        <w:ind w:left="3240" w:hanging="360"/>
      </w:pPr>
      <w:rPr>
        <w:rFonts w:ascii="Noto Sans Symbols" w:eastAsia="Noto Sans Symbols" w:hAnsi="Noto Sans Symbols" w:cs="Noto Sans Symbols"/>
        <w:sz w:val="20"/>
        <w:szCs w:val="20"/>
      </w:rPr>
    </w:lvl>
    <w:lvl w:ilvl="5" w:tplc="52085A58">
      <w:start w:val="1"/>
      <w:numFmt w:val="bullet"/>
      <w:lvlText w:val="●"/>
      <w:lvlJc w:val="left"/>
      <w:pPr>
        <w:ind w:left="3960" w:hanging="360"/>
      </w:pPr>
      <w:rPr>
        <w:rFonts w:ascii="Noto Sans Symbols" w:eastAsia="Noto Sans Symbols" w:hAnsi="Noto Sans Symbols" w:cs="Noto Sans Symbols"/>
        <w:sz w:val="20"/>
        <w:szCs w:val="20"/>
      </w:rPr>
    </w:lvl>
    <w:lvl w:ilvl="6" w:tplc="4350D728">
      <w:start w:val="1"/>
      <w:numFmt w:val="bullet"/>
      <w:lvlText w:val="●"/>
      <w:lvlJc w:val="left"/>
      <w:pPr>
        <w:ind w:left="4680" w:hanging="360"/>
      </w:pPr>
      <w:rPr>
        <w:rFonts w:ascii="Noto Sans Symbols" w:eastAsia="Noto Sans Symbols" w:hAnsi="Noto Sans Symbols" w:cs="Noto Sans Symbols"/>
        <w:sz w:val="20"/>
        <w:szCs w:val="20"/>
      </w:rPr>
    </w:lvl>
    <w:lvl w:ilvl="7" w:tplc="92820242">
      <w:start w:val="1"/>
      <w:numFmt w:val="bullet"/>
      <w:lvlText w:val="●"/>
      <w:lvlJc w:val="left"/>
      <w:pPr>
        <w:ind w:left="5400" w:hanging="360"/>
      </w:pPr>
      <w:rPr>
        <w:rFonts w:ascii="Noto Sans Symbols" w:eastAsia="Noto Sans Symbols" w:hAnsi="Noto Sans Symbols" w:cs="Noto Sans Symbols"/>
        <w:sz w:val="20"/>
        <w:szCs w:val="20"/>
      </w:rPr>
    </w:lvl>
    <w:lvl w:ilvl="8" w:tplc="03DEA31C">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10"/>
  </w:num>
  <w:num w:numId="4">
    <w:abstractNumId w:val="5"/>
  </w:num>
  <w:num w:numId="5">
    <w:abstractNumId w:val="9"/>
  </w:num>
  <w:num w:numId="6">
    <w:abstractNumId w:val="6"/>
  </w:num>
  <w:num w:numId="7">
    <w:abstractNumId w:val="3"/>
  </w:num>
  <w:num w:numId="8">
    <w:abstractNumId w:val="2"/>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86"/>
    <w:rsid w:val="00001AD1"/>
    <w:rsid w:val="00011A27"/>
    <w:rsid w:val="000129BF"/>
    <w:rsid w:val="00013DEE"/>
    <w:rsid w:val="00016AD7"/>
    <w:rsid w:val="00042DB4"/>
    <w:rsid w:val="00056EC8"/>
    <w:rsid w:val="000648A1"/>
    <w:rsid w:val="00064D9D"/>
    <w:rsid w:val="00066E9A"/>
    <w:rsid w:val="00082AB5"/>
    <w:rsid w:val="00084ADA"/>
    <w:rsid w:val="000A5745"/>
    <w:rsid w:val="000A5E9B"/>
    <w:rsid w:val="000B0D32"/>
    <w:rsid w:val="000B46CE"/>
    <w:rsid w:val="000D4EA0"/>
    <w:rsid w:val="000D5C9C"/>
    <w:rsid w:val="000E1A2C"/>
    <w:rsid w:val="000F0050"/>
    <w:rsid w:val="000F5E39"/>
    <w:rsid w:val="0012403A"/>
    <w:rsid w:val="00125829"/>
    <w:rsid w:val="00133A1B"/>
    <w:rsid w:val="00145125"/>
    <w:rsid w:val="001572AD"/>
    <w:rsid w:val="0015756B"/>
    <w:rsid w:val="001668A3"/>
    <w:rsid w:val="00170366"/>
    <w:rsid w:val="00172EE9"/>
    <w:rsid w:val="001730CB"/>
    <w:rsid w:val="00182724"/>
    <w:rsid w:val="00187F0C"/>
    <w:rsid w:val="00193B86"/>
    <w:rsid w:val="00195665"/>
    <w:rsid w:val="001A0338"/>
    <w:rsid w:val="001A21FF"/>
    <w:rsid w:val="001A5BE3"/>
    <w:rsid w:val="001B0F33"/>
    <w:rsid w:val="001B1E6B"/>
    <w:rsid w:val="001B4420"/>
    <w:rsid w:val="001B5D5A"/>
    <w:rsid w:val="001D3A63"/>
    <w:rsid w:val="001E037F"/>
    <w:rsid w:val="001E46BA"/>
    <w:rsid w:val="001F1999"/>
    <w:rsid w:val="00230FB5"/>
    <w:rsid w:val="00245AC1"/>
    <w:rsid w:val="0025174D"/>
    <w:rsid w:val="00254AFA"/>
    <w:rsid w:val="00262621"/>
    <w:rsid w:val="00263822"/>
    <w:rsid w:val="00267FF9"/>
    <w:rsid w:val="0027426B"/>
    <w:rsid w:val="00277DC4"/>
    <w:rsid w:val="00290D73"/>
    <w:rsid w:val="00293D83"/>
    <w:rsid w:val="00293F4E"/>
    <w:rsid w:val="00294F80"/>
    <w:rsid w:val="002B0CC2"/>
    <w:rsid w:val="002B6D8B"/>
    <w:rsid w:val="002C7652"/>
    <w:rsid w:val="002F4413"/>
    <w:rsid w:val="003015B2"/>
    <w:rsid w:val="00310FBD"/>
    <w:rsid w:val="00326835"/>
    <w:rsid w:val="00326C37"/>
    <w:rsid w:val="0032735F"/>
    <w:rsid w:val="00341A71"/>
    <w:rsid w:val="003477B2"/>
    <w:rsid w:val="0037282E"/>
    <w:rsid w:val="003859AD"/>
    <w:rsid w:val="0039062C"/>
    <w:rsid w:val="0039361A"/>
    <w:rsid w:val="003B6906"/>
    <w:rsid w:val="003B7912"/>
    <w:rsid w:val="003C4B88"/>
    <w:rsid w:val="003D3EAE"/>
    <w:rsid w:val="003D69F7"/>
    <w:rsid w:val="003D7A05"/>
    <w:rsid w:val="003E5941"/>
    <w:rsid w:val="0042744C"/>
    <w:rsid w:val="00443A08"/>
    <w:rsid w:val="00456313"/>
    <w:rsid w:val="004658A1"/>
    <w:rsid w:val="00467A06"/>
    <w:rsid w:val="004906D9"/>
    <w:rsid w:val="004D11FD"/>
    <w:rsid w:val="004D1A36"/>
    <w:rsid w:val="004F085E"/>
    <w:rsid w:val="004F6B83"/>
    <w:rsid w:val="00503F26"/>
    <w:rsid w:val="00525839"/>
    <w:rsid w:val="005367EE"/>
    <w:rsid w:val="005449DF"/>
    <w:rsid w:val="005469C2"/>
    <w:rsid w:val="00567275"/>
    <w:rsid w:val="00575C37"/>
    <w:rsid w:val="00583813"/>
    <w:rsid w:val="005A3D8F"/>
    <w:rsid w:val="005C31F9"/>
    <w:rsid w:val="005C77AE"/>
    <w:rsid w:val="005E345B"/>
    <w:rsid w:val="005F4B34"/>
    <w:rsid w:val="005F6870"/>
    <w:rsid w:val="005F7291"/>
    <w:rsid w:val="00601264"/>
    <w:rsid w:val="006027BC"/>
    <w:rsid w:val="0061526A"/>
    <w:rsid w:val="006471AA"/>
    <w:rsid w:val="0066274B"/>
    <w:rsid w:val="0066721F"/>
    <w:rsid w:val="0067472E"/>
    <w:rsid w:val="00682F17"/>
    <w:rsid w:val="006875B7"/>
    <w:rsid w:val="006A1C98"/>
    <w:rsid w:val="006C7963"/>
    <w:rsid w:val="006D12DC"/>
    <w:rsid w:val="006D12E6"/>
    <w:rsid w:val="006D4070"/>
    <w:rsid w:val="006E4369"/>
    <w:rsid w:val="006E6FBF"/>
    <w:rsid w:val="006F09FD"/>
    <w:rsid w:val="006F7011"/>
    <w:rsid w:val="00703E8F"/>
    <w:rsid w:val="0070536C"/>
    <w:rsid w:val="007118DA"/>
    <w:rsid w:val="007122A6"/>
    <w:rsid w:val="00714114"/>
    <w:rsid w:val="00714745"/>
    <w:rsid w:val="007332FD"/>
    <w:rsid w:val="00736496"/>
    <w:rsid w:val="00744602"/>
    <w:rsid w:val="00745520"/>
    <w:rsid w:val="007536FA"/>
    <w:rsid w:val="00765CCF"/>
    <w:rsid w:val="00791888"/>
    <w:rsid w:val="00793DA9"/>
    <w:rsid w:val="00794DE4"/>
    <w:rsid w:val="007A423B"/>
    <w:rsid w:val="007A760A"/>
    <w:rsid w:val="007C0AFC"/>
    <w:rsid w:val="007C24C2"/>
    <w:rsid w:val="007C7C06"/>
    <w:rsid w:val="007E45B7"/>
    <w:rsid w:val="007E515C"/>
    <w:rsid w:val="007E6E91"/>
    <w:rsid w:val="00804E84"/>
    <w:rsid w:val="00806CAC"/>
    <w:rsid w:val="00811417"/>
    <w:rsid w:val="00822BEE"/>
    <w:rsid w:val="00837A92"/>
    <w:rsid w:val="00892F90"/>
    <w:rsid w:val="008942A5"/>
    <w:rsid w:val="008B24E3"/>
    <w:rsid w:val="008B66DA"/>
    <w:rsid w:val="008D0411"/>
    <w:rsid w:val="008F1099"/>
    <w:rsid w:val="008F49FC"/>
    <w:rsid w:val="008F5820"/>
    <w:rsid w:val="008F7A6F"/>
    <w:rsid w:val="0090523D"/>
    <w:rsid w:val="00906DD9"/>
    <w:rsid w:val="009201A5"/>
    <w:rsid w:val="0094045C"/>
    <w:rsid w:val="00944E46"/>
    <w:rsid w:val="00953DD0"/>
    <w:rsid w:val="00955151"/>
    <w:rsid w:val="00960BF9"/>
    <w:rsid w:val="009615BE"/>
    <w:rsid w:val="00963B8A"/>
    <w:rsid w:val="0098577E"/>
    <w:rsid w:val="00986E2F"/>
    <w:rsid w:val="0099068A"/>
    <w:rsid w:val="009967DB"/>
    <w:rsid w:val="009A04A4"/>
    <w:rsid w:val="009A5318"/>
    <w:rsid w:val="009A5BB2"/>
    <w:rsid w:val="009B093A"/>
    <w:rsid w:val="009B1599"/>
    <w:rsid w:val="009C2D26"/>
    <w:rsid w:val="009E5222"/>
    <w:rsid w:val="00A24D1C"/>
    <w:rsid w:val="00A369BB"/>
    <w:rsid w:val="00A54958"/>
    <w:rsid w:val="00A719DA"/>
    <w:rsid w:val="00A760FF"/>
    <w:rsid w:val="00A836E6"/>
    <w:rsid w:val="00A95FFD"/>
    <w:rsid w:val="00A9750E"/>
    <w:rsid w:val="00AA5D43"/>
    <w:rsid w:val="00AB00AA"/>
    <w:rsid w:val="00AB7415"/>
    <w:rsid w:val="00AB77DF"/>
    <w:rsid w:val="00AD531A"/>
    <w:rsid w:val="00AF0EE9"/>
    <w:rsid w:val="00AF2CA4"/>
    <w:rsid w:val="00B10FE9"/>
    <w:rsid w:val="00B15D31"/>
    <w:rsid w:val="00B3136D"/>
    <w:rsid w:val="00B31FE1"/>
    <w:rsid w:val="00B33854"/>
    <w:rsid w:val="00B40535"/>
    <w:rsid w:val="00B560D2"/>
    <w:rsid w:val="00B61F1B"/>
    <w:rsid w:val="00B62403"/>
    <w:rsid w:val="00B6350D"/>
    <w:rsid w:val="00B65BF6"/>
    <w:rsid w:val="00B76521"/>
    <w:rsid w:val="00B811C6"/>
    <w:rsid w:val="00B84DAF"/>
    <w:rsid w:val="00B97622"/>
    <w:rsid w:val="00BA61D7"/>
    <w:rsid w:val="00BA6D1D"/>
    <w:rsid w:val="00BB249B"/>
    <w:rsid w:val="00BE5FFC"/>
    <w:rsid w:val="00BE6C76"/>
    <w:rsid w:val="00BF7543"/>
    <w:rsid w:val="00C02628"/>
    <w:rsid w:val="00C1545D"/>
    <w:rsid w:val="00C23FD5"/>
    <w:rsid w:val="00C3012F"/>
    <w:rsid w:val="00C3089B"/>
    <w:rsid w:val="00C43C3D"/>
    <w:rsid w:val="00C52E50"/>
    <w:rsid w:val="00C545CA"/>
    <w:rsid w:val="00C81990"/>
    <w:rsid w:val="00C86C58"/>
    <w:rsid w:val="00CA030E"/>
    <w:rsid w:val="00CB16F2"/>
    <w:rsid w:val="00CB59E9"/>
    <w:rsid w:val="00CD79D5"/>
    <w:rsid w:val="00CF0AD2"/>
    <w:rsid w:val="00CF0CE0"/>
    <w:rsid w:val="00D05548"/>
    <w:rsid w:val="00D0653D"/>
    <w:rsid w:val="00D13A8E"/>
    <w:rsid w:val="00D235D8"/>
    <w:rsid w:val="00D2410D"/>
    <w:rsid w:val="00D410C6"/>
    <w:rsid w:val="00D4447E"/>
    <w:rsid w:val="00D47094"/>
    <w:rsid w:val="00D514C3"/>
    <w:rsid w:val="00D53C66"/>
    <w:rsid w:val="00D56A4A"/>
    <w:rsid w:val="00D70DD7"/>
    <w:rsid w:val="00D713F7"/>
    <w:rsid w:val="00D716D7"/>
    <w:rsid w:val="00D77A51"/>
    <w:rsid w:val="00D820F0"/>
    <w:rsid w:val="00D8322C"/>
    <w:rsid w:val="00D90579"/>
    <w:rsid w:val="00DA1FCE"/>
    <w:rsid w:val="00DA3320"/>
    <w:rsid w:val="00DB1F66"/>
    <w:rsid w:val="00DB23B0"/>
    <w:rsid w:val="00DB6C7C"/>
    <w:rsid w:val="00DC0D7E"/>
    <w:rsid w:val="00DC2887"/>
    <w:rsid w:val="00DC750C"/>
    <w:rsid w:val="00DD2960"/>
    <w:rsid w:val="00DD416F"/>
    <w:rsid w:val="00DD4D57"/>
    <w:rsid w:val="00DF6C81"/>
    <w:rsid w:val="00E01AAB"/>
    <w:rsid w:val="00E07F21"/>
    <w:rsid w:val="00E15D11"/>
    <w:rsid w:val="00E17456"/>
    <w:rsid w:val="00E17C98"/>
    <w:rsid w:val="00E406F5"/>
    <w:rsid w:val="00E52B17"/>
    <w:rsid w:val="00E5716B"/>
    <w:rsid w:val="00E61D13"/>
    <w:rsid w:val="00E6281E"/>
    <w:rsid w:val="00E652D0"/>
    <w:rsid w:val="00E775DB"/>
    <w:rsid w:val="00E80481"/>
    <w:rsid w:val="00E92372"/>
    <w:rsid w:val="00E9261E"/>
    <w:rsid w:val="00EB5394"/>
    <w:rsid w:val="00EB56EF"/>
    <w:rsid w:val="00EB79AF"/>
    <w:rsid w:val="00EC14FA"/>
    <w:rsid w:val="00ED2B35"/>
    <w:rsid w:val="00F06B70"/>
    <w:rsid w:val="00F14B62"/>
    <w:rsid w:val="00F17510"/>
    <w:rsid w:val="00F213E2"/>
    <w:rsid w:val="00F22B4C"/>
    <w:rsid w:val="00F432A2"/>
    <w:rsid w:val="00F53FC8"/>
    <w:rsid w:val="00F60BBE"/>
    <w:rsid w:val="00F629BE"/>
    <w:rsid w:val="00F663B1"/>
    <w:rsid w:val="00FA0ABB"/>
    <w:rsid w:val="00FA3365"/>
    <w:rsid w:val="00FA7C22"/>
    <w:rsid w:val="00FB6998"/>
    <w:rsid w:val="00FC3894"/>
    <w:rsid w:val="00FC76E1"/>
    <w:rsid w:val="00FE7086"/>
    <w:rsid w:val="00FF5614"/>
    <w:rsid w:val="201A300D"/>
    <w:rsid w:val="26978A4D"/>
    <w:rsid w:val="468388C1"/>
    <w:rsid w:val="4C29A0A8"/>
    <w:rsid w:val="62169FC8"/>
    <w:rsid w:val="754DC267"/>
    <w:rsid w:val="7C858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2A37B"/>
  <w15:docId w15:val="{149ACA06-89C1-418D-9618-389F47CB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90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8A"/>
    <w:rPr>
      <w:rFonts w:ascii="Tahoma" w:hAnsi="Tahoma" w:cs="Tahoma"/>
      <w:sz w:val="16"/>
      <w:szCs w:val="16"/>
    </w:rPr>
  </w:style>
  <w:style w:type="character" w:customStyle="1" w:styleId="normaltextrun">
    <w:name w:val="normaltextrun"/>
    <w:basedOn w:val="DefaultParagraphFont"/>
    <w:rsid w:val="007E515C"/>
  </w:style>
  <w:style w:type="character" w:customStyle="1" w:styleId="contextualspellingandgrammarerror">
    <w:name w:val="contextualspellingandgrammarerror"/>
    <w:basedOn w:val="DefaultParagraphFont"/>
    <w:rsid w:val="007E515C"/>
  </w:style>
  <w:style w:type="character" w:customStyle="1" w:styleId="eop">
    <w:name w:val="eop"/>
    <w:basedOn w:val="DefaultParagraphFont"/>
    <w:rsid w:val="007E515C"/>
  </w:style>
  <w:style w:type="paragraph" w:customStyle="1" w:styleId="paragraph">
    <w:name w:val="paragraph"/>
    <w:basedOn w:val="Normal"/>
    <w:rsid w:val="00794DE4"/>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5F4B34"/>
    <w:pPr>
      <w:ind w:left="720"/>
      <w:contextualSpacing/>
    </w:pPr>
  </w:style>
  <w:style w:type="character" w:customStyle="1" w:styleId="spellingerror">
    <w:name w:val="spellingerror"/>
    <w:basedOn w:val="DefaultParagraphFont"/>
    <w:rsid w:val="00714745"/>
  </w:style>
  <w:style w:type="paragraph" w:styleId="NormalWeb">
    <w:name w:val="Normal (Web)"/>
    <w:basedOn w:val="Normal"/>
    <w:uiPriority w:val="99"/>
    <w:semiHidden/>
    <w:unhideWhenUsed/>
    <w:rsid w:val="008B66DA"/>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EB79AF"/>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658A1"/>
    <w:rPr>
      <w:b/>
      <w:bCs/>
    </w:rPr>
  </w:style>
  <w:style w:type="character" w:customStyle="1" w:styleId="CommentSubjectChar">
    <w:name w:val="Comment Subject Char"/>
    <w:basedOn w:val="CommentTextChar"/>
    <w:link w:val="CommentSubject"/>
    <w:uiPriority w:val="99"/>
    <w:semiHidden/>
    <w:rsid w:val="004658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815">
      <w:bodyDiv w:val="1"/>
      <w:marLeft w:val="0"/>
      <w:marRight w:val="0"/>
      <w:marTop w:val="0"/>
      <w:marBottom w:val="0"/>
      <w:divBdr>
        <w:top w:val="none" w:sz="0" w:space="0" w:color="auto"/>
        <w:left w:val="none" w:sz="0" w:space="0" w:color="auto"/>
        <w:bottom w:val="none" w:sz="0" w:space="0" w:color="auto"/>
        <w:right w:val="none" w:sz="0" w:space="0" w:color="auto"/>
      </w:divBdr>
    </w:div>
    <w:div w:id="105197467">
      <w:bodyDiv w:val="1"/>
      <w:marLeft w:val="0"/>
      <w:marRight w:val="0"/>
      <w:marTop w:val="0"/>
      <w:marBottom w:val="0"/>
      <w:divBdr>
        <w:top w:val="none" w:sz="0" w:space="0" w:color="auto"/>
        <w:left w:val="none" w:sz="0" w:space="0" w:color="auto"/>
        <w:bottom w:val="none" w:sz="0" w:space="0" w:color="auto"/>
        <w:right w:val="none" w:sz="0" w:space="0" w:color="auto"/>
      </w:divBdr>
    </w:div>
    <w:div w:id="243033258">
      <w:bodyDiv w:val="1"/>
      <w:marLeft w:val="0"/>
      <w:marRight w:val="0"/>
      <w:marTop w:val="0"/>
      <w:marBottom w:val="0"/>
      <w:divBdr>
        <w:top w:val="none" w:sz="0" w:space="0" w:color="auto"/>
        <w:left w:val="none" w:sz="0" w:space="0" w:color="auto"/>
        <w:bottom w:val="none" w:sz="0" w:space="0" w:color="auto"/>
        <w:right w:val="none" w:sz="0" w:space="0" w:color="auto"/>
      </w:divBdr>
    </w:div>
    <w:div w:id="387729697">
      <w:bodyDiv w:val="1"/>
      <w:marLeft w:val="0"/>
      <w:marRight w:val="0"/>
      <w:marTop w:val="0"/>
      <w:marBottom w:val="0"/>
      <w:divBdr>
        <w:top w:val="none" w:sz="0" w:space="0" w:color="auto"/>
        <w:left w:val="none" w:sz="0" w:space="0" w:color="auto"/>
        <w:bottom w:val="none" w:sz="0" w:space="0" w:color="auto"/>
        <w:right w:val="none" w:sz="0" w:space="0" w:color="auto"/>
      </w:divBdr>
    </w:div>
    <w:div w:id="389505106">
      <w:bodyDiv w:val="1"/>
      <w:marLeft w:val="0"/>
      <w:marRight w:val="0"/>
      <w:marTop w:val="0"/>
      <w:marBottom w:val="0"/>
      <w:divBdr>
        <w:top w:val="none" w:sz="0" w:space="0" w:color="auto"/>
        <w:left w:val="none" w:sz="0" w:space="0" w:color="auto"/>
        <w:bottom w:val="none" w:sz="0" w:space="0" w:color="auto"/>
        <w:right w:val="none" w:sz="0" w:space="0" w:color="auto"/>
      </w:divBdr>
    </w:div>
    <w:div w:id="522866281">
      <w:bodyDiv w:val="1"/>
      <w:marLeft w:val="0"/>
      <w:marRight w:val="0"/>
      <w:marTop w:val="0"/>
      <w:marBottom w:val="0"/>
      <w:divBdr>
        <w:top w:val="none" w:sz="0" w:space="0" w:color="auto"/>
        <w:left w:val="none" w:sz="0" w:space="0" w:color="auto"/>
        <w:bottom w:val="none" w:sz="0" w:space="0" w:color="auto"/>
        <w:right w:val="none" w:sz="0" w:space="0" w:color="auto"/>
      </w:divBdr>
      <w:divsChild>
        <w:div w:id="1757939370">
          <w:marLeft w:val="0"/>
          <w:marRight w:val="0"/>
          <w:marTop w:val="0"/>
          <w:marBottom w:val="0"/>
          <w:divBdr>
            <w:top w:val="none" w:sz="0" w:space="0" w:color="auto"/>
            <w:left w:val="none" w:sz="0" w:space="0" w:color="auto"/>
            <w:bottom w:val="none" w:sz="0" w:space="0" w:color="auto"/>
            <w:right w:val="none" w:sz="0" w:space="0" w:color="auto"/>
          </w:divBdr>
        </w:div>
        <w:div w:id="1061245882">
          <w:marLeft w:val="0"/>
          <w:marRight w:val="0"/>
          <w:marTop w:val="0"/>
          <w:marBottom w:val="0"/>
          <w:divBdr>
            <w:top w:val="none" w:sz="0" w:space="0" w:color="auto"/>
            <w:left w:val="none" w:sz="0" w:space="0" w:color="auto"/>
            <w:bottom w:val="none" w:sz="0" w:space="0" w:color="auto"/>
            <w:right w:val="none" w:sz="0" w:space="0" w:color="auto"/>
          </w:divBdr>
        </w:div>
      </w:divsChild>
    </w:div>
    <w:div w:id="649672341">
      <w:bodyDiv w:val="1"/>
      <w:marLeft w:val="0"/>
      <w:marRight w:val="0"/>
      <w:marTop w:val="0"/>
      <w:marBottom w:val="0"/>
      <w:divBdr>
        <w:top w:val="none" w:sz="0" w:space="0" w:color="auto"/>
        <w:left w:val="none" w:sz="0" w:space="0" w:color="auto"/>
        <w:bottom w:val="none" w:sz="0" w:space="0" w:color="auto"/>
        <w:right w:val="none" w:sz="0" w:space="0" w:color="auto"/>
      </w:divBdr>
    </w:div>
    <w:div w:id="715085098">
      <w:bodyDiv w:val="1"/>
      <w:marLeft w:val="0"/>
      <w:marRight w:val="0"/>
      <w:marTop w:val="0"/>
      <w:marBottom w:val="0"/>
      <w:divBdr>
        <w:top w:val="none" w:sz="0" w:space="0" w:color="auto"/>
        <w:left w:val="none" w:sz="0" w:space="0" w:color="auto"/>
        <w:bottom w:val="none" w:sz="0" w:space="0" w:color="auto"/>
        <w:right w:val="none" w:sz="0" w:space="0" w:color="auto"/>
      </w:divBdr>
    </w:div>
    <w:div w:id="1116947552">
      <w:bodyDiv w:val="1"/>
      <w:marLeft w:val="0"/>
      <w:marRight w:val="0"/>
      <w:marTop w:val="0"/>
      <w:marBottom w:val="0"/>
      <w:divBdr>
        <w:top w:val="none" w:sz="0" w:space="0" w:color="auto"/>
        <w:left w:val="none" w:sz="0" w:space="0" w:color="auto"/>
        <w:bottom w:val="none" w:sz="0" w:space="0" w:color="auto"/>
        <w:right w:val="none" w:sz="0" w:space="0" w:color="auto"/>
      </w:divBdr>
      <w:divsChild>
        <w:div w:id="711005132">
          <w:marLeft w:val="0"/>
          <w:marRight w:val="0"/>
          <w:marTop w:val="0"/>
          <w:marBottom w:val="0"/>
          <w:divBdr>
            <w:top w:val="none" w:sz="0" w:space="0" w:color="auto"/>
            <w:left w:val="none" w:sz="0" w:space="0" w:color="auto"/>
            <w:bottom w:val="none" w:sz="0" w:space="0" w:color="auto"/>
            <w:right w:val="none" w:sz="0" w:space="0" w:color="auto"/>
          </w:divBdr>
        </w:div>
        <w:div w:id="2057386565">
          <w:marLeft w:val="0"/>
          <w:marRight w:val="0"/>
          <w:marTop w:val="0"/>
          <w:marBottom w:val="0"/>
          <w:divBdr>
            <w:top w:val="none" w:sz="0" w:space="0" w:color="auto"/>
            <w:left w:val="none" w:sz="0" w:space="0" w:color="auto"/>
            <w:bottom w:val="none" w:sz="0" w:space="0" w:color="auto"/>
            <w:right w:val="none" w:sz="0" w:space="0" w:color="auto"/>
          </w:divBdr>
        </w:div>
        <w:div w:id="1946762575">
          <w:marLeft w:val="0"/>
          <w:marRight w:val="0"/>
          <w:marTop w:val="0"/>
          <w:marBottom w:val="0"/>
          <w:divBdr>
            <w:top w:val="none" w:sz="0" w:space="0" w:color="auto"/>
            <w:left w:val="none" w:sz="0" w:space="0" w:color="auto"/>
            <w:bottom w:val="none" w:sz="0" w:space="0" w:color="auto"/>
            <w:right w:val="none" w:sz="0" w:space="0" w:color="auto"/>
          </w:divBdr>
        </w:div>
        <w:div w:id="687829641">
          <w:marLeft w:val="0"/>
          <w:marRight w:val="0"/>
          <w:marTop w:val="0"/>
          <w:marBottom w:val="0"/>
          <w:divBdr>
            <w:top w:val="none" w:sz="0" w:space="0" w:color="auto"/>
            <w:left w:val="none" w:sz="0" w:space="0" w:color="auto"/>
            <w:bottom w:val="none" w:sz="0" w:space="0" w:color="auto"/>
            <w:right w:val="none" w:sz="0" w:space="0" w:color="auto"/>
          </w:divBdr>
        </w:div>
        <w:div w:id="723484340">
          <w:marLeft w:val="0"/>
          <w:marRight w:val="0"/>
          <w:marTop w:val="0"/>
          <w:marBottom w:val="0"/>
          <w:divBdr>
            <w:top w:val="none" w:sz="0" w:space="0" w:color="auto"/>
            <w:left w:val="none" w:sz="0" w:space="0" w:color="auto"/>
            <w:bottom w:val="none" w:sz="0" w:space="0" w:color="auto"/>
            <w:right w:val="none" w:sz="0" w:space="0" w:color="auto"/>
          </w:divBdr>
        </w:div>
        <w:div w:id="1778058778">
          <w:marLeft w:val="0"/>
          <w:marRight w:val="0"/>
          <w:marTop w:val="0"/>
          <w:marBottom w:val="0"/>
          <w:divBdr>
            <w:top w:val="none" w:sz="0" w:space="0" w:color="auto"/>
            <w:left w:val="none" w:sz="0" w:space="0" w:color="auto"/>
            <w:bottom w:val="none" w:sz="0" w:space="0" w:color="auto"/>
            <w:right w:val="none" w:sz="0" w:space="0" w:color="auto"/>
          </w:divBdr>
        </w:div>
        <w:div w:id="548302768">
          <w:marLeft w:val="0"/>
          <w:marRight w:val="0"/>
          <w:marTop w:val="0"/>
          <w:marBottom w:val="0"/>
          <w:divBdr>
            <w:top w:val="none" w:sz="0" w:space="0" w:color="auto"/>
            <w:left w:val="none" w:sz="0" w:space="0" w:color="auto"/>
            <w:bottom w:val="none" w:sz="0" w:space="0" w:color="auto"/>
            <w:right w:val="none" w:sz="0" w:space="0" w:color="auto"/>
          </w:divBdr>
        </w:div>
        <w:div w:id="1681272278">
          <w:marLeft w:val="0"/>
          <w:marRight w:val="0"/>
          <w:marTop w:val="0"/>
          <w:marBottom w:val="0"/>
          <w:divBdr>
            <w:top w:val="none" w:sz="0" w:space="0" w:color="auto"/>
            <w:left w:val="none" w:sz="0" w:space="0" w:color="auto"/>
            <w:bottom w:val="none" w:sz="0" w:space="0" w:color="auto"/>
            <w:right w:val="none" w:sz="0" w:space="0" w:color="auto"/>
          </w:divBdr>
        </w:div>
        <w:div w:id="121848641">
          <w:marLeft w:val="0"/>
          <w:marRight w:val="0"/>
          <w:marTop w:val="0"/>
          <w:marBottom w:val="0"/>
          <w:divBdr>
            <w:top w:val="none" w:sz="0" w:space="0" w:color="auto"/>
            <w:left w:val="none" w:sz="0" w:space="0" w:color="auto"/>
            <w:bottom w:val="none" w:sz="0" w:space="0" w:color="auto"/>
            <w:right w:val="none" w:sz="0" w:space="0" w:color="auto"/>
          </w:divBdr>
        </w:div>
        <w:div w:id="744885583">
          <w:marLeft w:val="0"/>
          <w:marRight w:val="0"/>
          <w:marTop w:val="0"/>
          <w:marBottom w:val="0"/>
          <w:divBdr>
            <w:top w:val="none" w:sz="0" w:space="0" w:color="auto"/>
            <w:left w:val="none" w:sz="0" w:space="0" w:color="auto"/>
            <w:bottom w:val="none" w:sz="0" w:space="0" w:color="auto"/>
            <w:right w:val="none" w:sz="0" w:space="0" w:color="auto"/>
          </w:divBdr>
        </w:div>
        <w:div w:id="322241723">
          <w:marLeft w:val="0"/>
          <w:marRight w:val="0"/>
          <w:marTop w:val="0"/>
          <w:marBottom w:val="0"/>
          <w:divBdr>
            <w:top w:val="none" w:sz="0" w:space="0" w:color="auto"/>
            <w:left w:val="none" w:sz="0" w:space="0" w:color="auto"/>
            <w:bottom w:val="none" w:sz="0" w:space="0" w:color="auto"/>
            <w:right w:val="none" w:sz="0" w:space="0" w:color="auto"/>
          </w:divBdr>
        </w:div>
        <w:div w:id="369842172">
          <w:marLeft w:val="0"/>
          <w:marRight w:val="0"/>
          <w:marTop w:val="0"/>
          <w:marBottom w:val="0"/>
          <w:divBdr>
            <w:top w:val="none" w:sz="0" w:space="0" w:color="auto"/>
            <w:left w:val="none" w:sz="0" w:space="0" w:color="auto"/>
            <w:bottom w:val="none" w:sz="0" w:space="0" w:color="auto"/>
            <w:right w:val="none" w:sz="0" w:space="0" w:color="auto"/>
          </w:divBdr>
        </w:div>
        <w:div w:id="2118014893">
          <w:marLeft w:val="0"/>
          <w:marRight w:val="0"/>
          <w:marTop w:val="0"/>
          <w:marBottom w:val="0"/>
          <w:divBdr>
            <w:top w:val="none" w:sz="0" w:space="0" w:color="auto"/>
            <w:left w:val="none" w:sz="0" w:space="0" w:color="auto"/>
            <w:bottom w:val="none" w:sz="0" w:space="0" w:color="auto"/>
            <w:right w:val="none" w:sz="0" w:space="0" w:color="auto"/>
          </w:divBdr>
        </w:div>
        <w:div w:id="936333901">
          <w:marLeft w:val="0"/>
          <w:marRight w:val="0"/>
          <w:marTop w:val="0"/>
          <w:marBottom w:val="0"/>
          <w:divBdr>
            <w:top w:val="none" w:sz="0" w:space="0" w:color="auto"/>
            <w:left w:val="none" w:sz="0" w:space="0" w:color="auto"/>
            <w:bottom w:val="none" w:sz="0" w:space="0" w:color="auto"/>
            <w:right w:val="none" w:sz="0" w:space="0" w:color="auto"/>
          </w:divBdr>
        </w:div>
        <w:div w:id="122621377">
          <w:marLeft w:val="0"/>
          <w:marRight w:val="0"/>
          <w:marTop w:val="0"/>
          <w:marBottom w:val="0"/>
          <w:divBdr>
            <w:top w:val="none" w:sz="0" w:space="0" w:color="auto"/>
            <w:left w:val="none" w:sz="0" w:space="0" w:color="auto"/>
            <w:bottom w:val="none" w:sz="0" w:space="0" w:color="auto"/>
            <w:right w:val="none" w:sz="0" w:space="0" w:color="auto"/>
          </w:divBdr>
        </w:div>
        <w:div w:id="970283207">
          <w:marLeft w:val="0"/>
          <w:marRight w:val="0"/>
          <w:marTop w:val="0"/>
          <w:marBottom w:val="0"/>
          <w:divBdr>
            <w:top w:val="none" w:sz="0" w:space="0" w:color="auto"/>
            <w:left w:val="none" w:sz="0" w:space="0" w:color="auto"/>
            <w:bottom w:val="none" w:sz="0" w:space="0" w:color="auto"/>
            <w:right w:val="none" w:sz="0" w:space="0" w:color="auto"/>
          </w:divBdr>
        </w:div>
        <w:div w:id="1945305882">
          <w:marLeft w:val="0"/>
          <w:marRight w:val="0"/>
          <w:marTop w:val="0"/>
          <w:marBottom w:val="0"/>
          <w:divBdr>
            <w:top w:val="none" w:sz="0" w:space="0" w:color="auto"/>
            <w:left w:val="none" w:sz="0" w:space="0" w:color="auto"/>
            <w:bottom w:val="none" w:sz="0" w:space="0" w:color="auto"/>
            <w:right w:val="none" w:sz="0" w:space="0" w:color="auto"/>
          </w:divBdr>
        </w:div>
        <w:div w:id="170267298">
          <w:marLeft w:val="0"/>
          <w:marRight w:val="0"/>
          <w:marTop w:val="0"/>
          <w:marBottom w:val="0"/>
          <w:divBdr>
            <w:top w:val="none" w:sz="0" w:space="0" w:color="auto"/>
            <w:left w:val="none" w:sz="0" w:space="0" w:color="auto"/>
            <w:bottom w:val="none" w:sz="0" w:space="0" w:color="auto"/>
            <w:right w:val="none" w:sz="0" w:space="0" w:color="auto"/>
          </w:divBdr>
        </w:div>
        <w:div w:id="1314288052">
          <w:marLeft w:val="0"/>
          <w:marRight w:val="0"/>
          <w:marTop w:val="0"/>
          <w:marBottom w:val="0"/>
          <w:divBdr>
            <w:top w:val="none" w:sz="0" w:space="0" w:color="auto"/>
            <w:left w:val="none" w:sz="0" w:space="0" w:color="auto"/>
            <w:bottom w:val="none" w:sz="0" w:space="0" w:color="auto"/>
            <w:right w:val="none" w:sz="0" w:space="0" w:color="auto"/>
          </w:divBdr>
        </w:div>
      </w:divsChild>
    </w:div>
    <w:div w:id="1185705608">
      <w:bodyDiv w:val="1"/>
      <w:marLeft w:val="0"/>
      <w:marRight w:val="0"/>
      <w:marTop w:val="0"/>
      <w:marBottom w:val="0"/>
      <w:divBdr>
        <w:top w:val="none" w:sz="0" w:space="0" w:color="auto"/>
        <w:left w:val="none" w:sz="0" w:space="0" w:color="auto"/>
        <w:bottom w:val="none" w:sz="0" w:space="0" w:color="auto"/>
        <w:right w:val="none" w:sz="0" w:space="0" w:color="auto"/>
      </w:divBdr>
    </w:div>
    <w:div w:id="1545749199">
      <w:bodyDiv w:val="1"/>
      <w:marLeft w:val="0"/>
      <w:marRight w:val="0"/>
      <w:marTop w:val="0"/>
      <w:marBottom w:val="0"/>
      <w:divBdr>
        <w:top w:val="none" w:sz="0" w:space="0" w:color="auto"/>
        <w:left w:val="none" w:sz="0" w:space="0" w:color="auto"/>
        <w:bottom w:val="none" w:sz="0" w:space="0" w:color="auto"/>
        <w:right w:val="none" w:sz="0" w:space="0" w:color="auto"/>
      </w:divBdr>
      <w:divsChild>
        <w:div w:id="1433894778">
          <w:marLeft w:val="0"/>
          <w:marRight w:val="0"/>
          <w:marTop w:val="0"/>
          <w:marBottom w:val="0"/>
          <w:divBdr>
            <w:top w:val="none" w:sz="0" w:space="0" w:color="auto"/>
            <w:left w:val="none" w:sz="0" w:space="0" w:color="auto"/>
            <w:bottom w:val="none" w:sz="0" w:space="0" w:color="auto"/>
            <w:right w:val="none" w:sz="0" w:space="0" w:color="auto"/>
          </w:divBdr>
        </w:div>
        <w:div w:id="1967046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warwickshire.gov.uk/content/consultations-overview/consultations-overvie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rwickshire.gov.uk/joint-strategic-needs-assessments-1/jsna-place-based-approa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ocs.google.com/document/d/1OQYqpkAbmHGSNl8S-T7BmkBEph9dkUGYruRqSZHTHuU/edit?usp=sharing" TargetMode="External"/><Relationship Id="rId19" Type="http://schemas.openxmlformats.org/officeDocument/2006/relationships/hyperlink" Target="mailto:equalities@warwick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60900f1025ca445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d4d9ea39db04a664e698be560ea3064b">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143ad2c4b97a7312c6ec01ccc13206ef"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17176-98D5-4FFD-8C64-6207AC78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D3FF7-B6EC-4108-870C-F466903AF17C}">
  <ds:schemaRefs>
    <ds:schemaRef ds:uri="http://schemas.microsoft.com/sharepoint/v3/contenttype/forms"/>
  </ds:schemaRefs>
</ds:datastoreItem>
</file>

<file path=customXml/itemProps3.xml><?xml version="1.0" encoding="utf-8"?>
<ds:datastoreItem xmlns:ds="http://schemas.openxmlformats.org/officeDocument/2006/customXml" ds:itemID="{1BD2F2A0-03E1-4542-819E-E2004E905AB5}">
  <ds:schemaRefs>
    <ds:schemaRef ds:uri="http://www.w3.org/XML/1998/namespace"/>
    <ds:schemaRef ds:uri="http://purl.org/dc/terms/"/>
    <ds:schemaRef ds:uri="a14d1103-04fc-403b-ab74-f9864fff519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f60ba4f-a7a1-475b-9dbb-8eb223133e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2584</Words>
  <Characters>14731</Characters>
  <Application>Microsoft Office Word</Application>
  <DocSecurity>0</DocSecurity>
  <Lines>122</Lines>
  <Paragraphs>34</Paragraphs>
  <ScaleCrop>false</ScaleCrop>
  <Company>Warwickshire County Council</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Barnes</dc:creator>
  <cp:lastModifiedBy>Gemma Mckinnon</cp:lastModifiedBy>
  <cp:revision>6</cp:revision>
  <dcterms:created xsi:type="dcterms:W3CDTF">2020-11-19T16:12:00Z</dcterms:created>
  <dcterms:modified xsi:type="dcterms:W3CDTF">2020-11-20T12:47:00Z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