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0" w:rsidRPr="00805FB4" w:rsidRDefault="00296694">
      <w:pPr>
        <w:rPr>
          <w:b/>
          <w:sz w:val="28"/>
          <w:szCs w:val="28"/>
          <w:u w:val="single"/>
        </w:rPr>
      </w:pPr>
      <w:r w:rsidRPr="00805FB4">
        <w:rPr>
          <w:b/>
          <w:sz w:val="28"/>
          <w:szCs w:val="28"/>
          <w:u w:val="single"/>
        </w:rPr>
        <w:t>Draft WCC RAS Table for 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25"/>
        <w:gridCol w:w="2292"/>
        <w:gridCol w:w="2354"/>
        <w:gridCol w:w="2355"/>
        <w:gridCol w:w="2453"/>
      </w:tblGrid>
      <w:tr w:rsidR="008E0B49" w:rsidTr="00FA79C1">
        <w:trPr>
          <w:trHeight w:val="828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Assessed Needs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RAS Points Score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Indicative Budget per Year</w:t>
            </w:r>
            <w:r w:rsidR="009B4A4E" w:rsidRPr="00805FB4">
              <w:rPr>
                <w:b/>
                <w:sz w:val="28"/>
                <w:szCs w:val="28"/>
              </w:rPr>
              <w:t xml:space="preserve"> (£)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0B49" w:rsidRPr="00805FB4" w:rsidRDefault="008E0B49" w:rsidP="00805FB4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Indic</w:t>
            </w:r>
            <w:r w:rsidR="00805FB4">
              <w:rPr>
                <w:b/>
                <w:sz w:val="28"/>
                <w:szCs w:val="28"/>
              </w:rPr>
              <w:t>ative Number of Hours available per</w:t>
            </w:r>
            <w:r w:rsidRPr="00805FB4">
              <w:rPr>
                <w:b/>
                <w:sz w:val="28"/>
                <w:szCs w:val="28"/>
              </w:rPr>
              <w:t xml:space="preserve"> y</w:t>
            </w:r>
            <w:r w:rsidR="00805FB4">
              <w:rPr>
                <w:b/>
                <w:sz w:val="28"/>
                <w:szCs w:val="28"/>
              </w:rPr>
              <w:t>ear</w:t>
            </w:r>
            <w:r w:rsidRPr="00805FB4">
              <w:rPr>
                <w:b/>
                <w:sz w:val="28"/>
                <w:szCs w:val="28"/>
              </w:rPr>
              <w:t xml:space="preserve"> @£14.50</w:t>
            </w:r>
            <w:r w:rsidR="00805FB4">
              <w:rPr>
                <w:b/>
                <w:sz w:val="28"/>
                <w:szCs w:val="28"/>
              </w:rPr>
              <w:t>/hr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Hours Available</w:t>
            </w:r>
          </w:p>
          <w:p w:rsidR="008E0B49" w:rsidRPr="00805FB4" w:rsidRDefault="008E0B49" w:rsidP="0051107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Per 4 week period</w:t>
            </w:r>
          </w:p>
        </w:tc>
      </w:tr>
      <w:tr w:rsidR="008E0B49" w:rsidTr="00733205">
        <w:tc>
          <w:tcPr>
            <w:tcW w:w="239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No Support</w:t>
            </w:r>
          </w:p>
          <w:p w:rsidR="00733205" w:rsidRPr="00805FB4" w:rsidRDefault="00733205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E0B49" w:rsidRPr="00805FB4" w:rsidRDefault="008E0B49" w:rsidP="008E0B49">
            <w:pPr>
              <w:jc w:val="right"/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0</w:t>
            </w:r>
            <w:r w:rsidR="008F1A77" w:rsidRPr="00805FB4">
              <w:rPr>
                <w:b/>
                <w:sz w:val="28"/>
                <w:szCs w:val="28"/>
              </w:rPr>
              <w:t xml:space="preserve"> - </w:t>
            </w:r>
            <w:r w:rsidRPr="00805FB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E0B49" w:rsidRPr="00805FB4" w:rsidRDefault="008E0B49" w:rsidP="008E0B49">
            <w:pPr>
              <w:jc w:val="right"/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0</w:t>
            </w:r>
            <w:r w:rsidR="009B4A4E" w:rsidRPr="00805FB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E0B49" w:rsidRPr="00805FB4" w:rsidRDefault="008E0B49" w:rsidP="008E0B49">
            <w:pPr>
              <w:jc w:val="right"/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E0B49" w:rsidRPr="00805FB4" w:rsidRDefault="008E0B49" w:rsidP="008E0B49">
            <w:pPr>
              <w:jc w:val="right"/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0</w:t>
            </w:r>
          </w:p>
        </w:tc>
      </w:tr>
      <w:tr w:rsidR="008E0B49" w:rsidTr="00733205">
        <w:tc>
          <w:tcPr>
            <w:tcW w:w="2395" w:type="dxa"/>
            <w:vMerge w:val="restart"/>
            <w:shd w:val="clear" w:color="auto" w:fill="D6E3BC" w:themeFill="accent3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Low Support</w:t>
            </w:r>
          </w:p>
        </w:tc>
        <w:tc>
          <w:tcPr>
            <w:tcW w:w="2325" w:type="dxa"/>
            <w:shd w:val="clear" w:color="auto" w:fill="D6E3BC" w:themeFill="accent3" w:themeFillTint="66"/>
          </w:tcPr>
          <w:p w:rsidR="008E0B49" w:rsidRPr="00805FB4" w:rsidRDefault="008E0B49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Low</w:t>
            </w:r>
          </w:p>
        </w:tc>
        <w:tc>
          <w:tcPr>
            <w:tcW w:w="2292" w:type="dxa"/>
            <w:shd w:val="clear" w:color="auto" w:fill="D6E3BC" w:themeFill="accent3" w:themeFillTint="66"/>
          </w:tcPr>
          <w:p w:rsidR="008E0B49" w:rsidRPr="00805FB4" w:rsidRDefault="008F1A77" w:rsidP="008F1A77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101 - 118</w:t>
            </w:r>
          </w:p>
        </w:tc>
        <w:tc>
          <w:tcPr>
            <w:tcW w:w="2354" w:type="dxa"/>
            <w:shd w:val="clear" w:color="auto" w:fill="D6E3BC" w:themeFill="accent3" w:themeFillTint="66"/>
          </w:tcPr>
          <w:p w:rsidR="008E0B49" w:rsidRPr="00805FB4" w:rsidRDefault="00E141AD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377</w:t>
            </w:r>
            <w:r w:rsidR="009B4A4E" w:rsidRPr="00805FB4">
              <w:rPr>
                <w:sz w:val="28"/>
                <w:szCs w:val="28"/>
              </w:rPr>
              <w:t>.00</w:t>
            </w:r>
          </w:p>
        </w:tc>
        <w:tc>
          <w:tcPr>
            <w:tcW w:w="2355" w:type="dxa"/>
            <w:shd w:val="clear" w:color="auto" w:fill="D6E3BC" w:themeFill="accent3" w:themeFillTint="66"/>
          </w:tcPr>
          <w:p w:rsidR="008E0B49" w:rsidRPr="00805FB4" w:rsidRDefault="00E141AD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26</w:t>
            </w:r>
          </w:p>
        </w:tc>
        <w:tc>
          <w:tcPr>
            <w:tcW w:w="2453" w:type="dxa"/>
            <w:shd w:val="clear" w:color="auto" w:fill="D6E3BC" w:themeFill="accent3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</w:t>
            </w:r>
          </w:p>
        </w:tc>
      </w:tr>
      <w:tr w:rsidR="008E0B49" w:rsidTr="00733205">
        <w:tc>
          <w:tcPr>
            <w:tcW w:w="2395" w:type="dxa"/>
            <w:vMerge/>
            <w:shd w:val="clear" w:color="auto" w:fill="D6E3BC" w:themeFill="accent3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D6E3BC" w:themeFill="accent3" w:themeFillTint="66"/>
          </w:tcPr>
          <w:p w:rsidR="008E0B49" w:rsidRPr="00805FB4" w:rsidRDefault="008E0B49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Medium</w:t>
            </w:r>
          </w:p>
        </w:tc>
        <w:tc>
          <w:tcPr>
            <w:tcW w:w="2292" w:type="dxa"/>
            <w:shd w:val="clear" w:color="auto" w:fill="D6E3BC" w:themeFill="accent3" w:themeFillTint="66"/>
          </w:tcPr>
          <w:p w:rsidR="008E0B49" w:rsidRPr="00805FB4" w:rsidRDefault="008F1A77" w:rsidP="00805FB4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119 - 1</w:t>
            </w:r>
            <w:r w:rsidR="00805FB4">
              <w:rPr>
                <w:sz w:val="28"/>
                <w:szCs w:val="28"/>
              </w:rPr>
              <w:t>3</w:t>
            </w:r>
            <w:r w:rsidRPr="00805FB4">
              <w:rPr>
                <w:sz w:val="28"/>
                <w:szCs w:val="28"/>
              </w:rPr>
              <w:t>5</w:t>
            </w:r>
          </w:p>
        </w:tc>
        <w:tc>
          <w:tcPr>
            <w:tcW w:w="2354" w:type="dxa"/>
            <w:shd w:val="clear" w:color="auto" w:fill="D6E3BC" w:themeFill="accent3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565.50</w:t>
            </w:r>
          </w:p>
        </w:tc>
        <w:tc>
          <w:tcPr>
            <w:tcW w:w="2355" w:type="dxa"/>
            <w:shd w:val="clear" w:color="auto" w:fill="D6E3BC" w:themeFill="accent3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39</w:t>
            </w:r>
          </w:p>
        </w:tc>
        <w:tc>
          <w:tcPr>
            <w:tcW w:w="2453" w:type="dxa"/>
            <w:shd w:val="clear" w:color="auto" w:fill="D6E3BC" w:themeFill="accent3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</w:t>
            </w:r>
          </w:p>
        </w:tc>
      </w:tr>
      <w:tr w:rsidR="008E0B49" w:rsidTr="00733205"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0B49" w:rsidRPr="00805FB4" w:rsidRDefault="008E0B49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High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0B49" w:rsidRPr="00805FB4" w:rsidRDefault="00805FB4" w:rsidP="00805F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F1A77" w:rsidRPr="00805FB4">
              <w:rPr>
                <w:sz w:val="28"/>
                <w:szCs w:val="28"/>
              </w:rPr>
              <w:t>6 - 1</w:t>
            </w:r>
            <w:r>
              <w:rPr>
                <w:sz w:val="28"/>
                <w:szCs w:val="28"/>
              </w:rPr>
              <w:t>5</w:t>
            </w:r>
            <w:r w:rsidR="008F1A77" w:rsidRPr="00805FB4">
              <w:rPr>
                <w:sz w:val="28"/>
                <w:szCs w:val="28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754.00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52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4</w:t>
            </w:r>
          </w:p>
        </w:tc>
      </w:tr>
      <w:tr w:rsidR="008E0B49" w:rsidTr="00733205">
        <w:tc>
          <w:tcPr>
            <w:tcW w:w="2395" w:type="dxa"/>
            <w:vMerge w:val="restart"/>
            <w:shd w:val="clear" w:color="auto" w:fill="E5B8B7" w:themeFill="accent2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Medium Support</w:t>
            </w:r>
          </w:p>
        </w:tc>
        <w:tc>
          <w:tcPr>
            <w:tcW w:w="2325" w:type="dxa"/>
            <w:shd w:val="clear" w:color="auto" w:fill="E5B8B7" w:themeFill="accent2" w:themeFillTint="66"/>
          </w:tcPr>
          <w:p w:rsidR="008E0B49" w:rsidRPr="00805FB4" w:rsidRDefault="008E0B49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Low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8E0B49" w:rsidRPr="00805FB4" w:rsidRDefault="008F1A77" w:rsidP="00805FB4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</w:t>
            </w:r>
            <w:r w:rsidR="00805FB4">
              <w:rPr>
                <w:sz w:val="28"/>
                <w:szCs w:val="28"/>
              </w:rPr>
              <w:t>5</w:t>
            </w:r>
            <w:r w:rsidRPr="00805FB4">
              <w:rPr>
                <w:sz w:val="28"/>
                <w:szCs w:val="28"/>
              </w:rPr>
              <w:t>3 - 1</w:t>
            </w:r>
            <w:r w:rsidR="00805FB4">
              <w:rPr>
                <w:sz w:val="28"/>
                <w:szCs w:val="28"/>
              </w:rPr>
              <w:t>7</w:t>
            </w:r>
            <w:r w:rsidRPr="00805FB4">
              <w:rPr>
                <w:sz w:val="28"/>
                <w:szCs w:val="28"/>
              </w:rPr>
              <w:t>0</w:t>
            </w:r>
            <w:r w:rsidR="008E0B49" w:rsidRPr="00805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E5B8B7" w:themeFill="accen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1131.00</w:t>
            </w:r>
          </w:p>
        </w:tc>
        <w:tc>
          <w:tcPr>
            <w:tcW w:w="2355" w:type="dxa"/>
            <w:shd w:val="clear" w:color="auto" w:fill="E5B8B7" w:themeFill="accen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78</w:t>
            </w:r>
          </w:p>
        </w:tc>
        <w:tc>
          <w:tcPr>
            <w:tcW w:w="2453" w:type="dxa"/>
            <w:shd w:val="clear" w:color="auto" w:fill="E5B8B7" w:themeFill="accent2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6</w:t>
            </w:r>
          </w:p>
        </w:tc>
      </w:tr>
      <w:tr w:rsidR="008E0B49" w:rsidTr="00733205">
        <w:tc>
          <w:tcPr>
            <w:tcW w:w="2395" w:type="dxa"/>
            <w:vMerge/>
            <w:shd w:val="clear" w:color="auto" w:fill="E5B8B7" w:themeFill="accent2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E5B8B7" w:themeFill="accent2" w:themeFillTint="66"/>
          </w:tcPr>
          <w:p w:rsidR="008E0B49" w:rsidRPr="00805FB4" w:rsidRDefault="008E0B49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Medium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8E0B49" w:rsidRPr="00805FB4" w:rsidRDefault="00805FB4" w:rsidP="00805F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F1A77" w:rsidRPr="00805FB4">
              <w:rPr>
                <w:sz w:val="28"/>
                <w:szCs w:val="28"/>
              </w:rPr>
              <w:t>1 - 1</w:t>
            </w:r>
            <w:r>
              <w:rPr>
                <w:sz w:val="28"/>
                <w:szCs w:val="28"/>
              </w:rPr>
              <w:t>8</w:t>
            </w:r>
            <w:r w:rsidR="008F1A77" w:rsidRPr="00805FB4">
              <w:rPr>
                <w:sz w:val="28"/>
                <w:szCs w:val="28"/>
              </w:rPr>
              <w:t>7</w:t>
            </w:r>
          </w:p>
        </w:tc>
        <w:tc>
          <w:tcPr>
            <w:tcW w:w="2354" w:type="dxa"/>
            <w:shd w:val="clear" w:color="auto" w:fill="E5B8B7" w:themeFill="accen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1508.00</w:t>
            </w:r>
          </w:p>
        </w:tc>
        <w:tc>
          <w:tcPr>
            <w:tcW w:w="2355" w:type="dxa"/>
            <w:shd w:val="clear" w:color="auto" w:fill="E5B8B7" w:themeFill="accen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104</w:t>
            </w:r>
          </w:p>
        </w:tc>
        <w:tc>
          <w:tcPr>
            <w:tcW w:w="2453" w:type="dxa"/>
            <w:shd w:val="clear" w:color="auto" w:fill="E5B8B7" w:themeFill="accent2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8</w:t>
            </w:r>
          </w:p>
        </w:tc>
      </w:tr>
      <w:tr w:rsidR="008E0B49" w:rsidTr="00FA79C1"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B49" w:rsidRPr="00805FB4" w:rsidRDefault="008E0B49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High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B49" w:rsidRPr="00805FB4" w:rsidRDefault="00805FB4" w:rsidP="00805F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1A77" w:rsidRPr="00805FB4">
              <w:rPr>
                <w:sz w:val="28"/>
                <w:szCs w:val="28"/>
              </w:rPr>
              <w:t xml:space="preserve">8 - </w:t>
            </w:r>
            <w:r>
              <w:rPr>
                <w:sz w:val="28"/>
                <w:szCs w:val="28"/>
              </w:rPr>
              <w:t>20</w:t>
            </w:r>
            <w:r w:rsidR="008F1A77" w:rsidRPr="00805FB4">
              <w:rPr>
                <w:sz w:val="28"/>
                <w:szCs w:val="28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2262.00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156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12</w:t>
            </w:r>
          </w:p>
        </w:tc>
      </w:tr>
      <w:tr w:rsidR="008F1A77" w:rsidTr="00733205">
        <w:tc>
          <w:tcPr>
            <w:tcW w:w="2395" w:type="dxa"/>
            <w:vMerge w:val="restart"/>
            <w:shd w:val="clear" w:color="auto" w:fill="B8CCE4" w:themeFill="accent1" w:themeFillTint="66"/>
          </w:tcPr>
          <w:p w:rsidR="008F1A77" w:rsidRPr="00805FB4" w:rsidRDefault="008F1A77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High Support</w:t>
            </w:r>
          </w:p>
        </w:tc>
        <w:tc>
          <w:tcPr>
            <w:tcW w:w="2325" w:type="dxa"/>
            <w:shd w:val="clear" w:color="auto" w:fill="B8CCE4" w:themeFill="accent1" w:themeFillTint="66"/>
          </w:tcPr>
          <w:p w:rsidR="008F1A77" w:rsidRPr="00805FB4" w:rsidRDefault="008F1A77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Low</w:t>
            </w:r>
          </w:p>
        </w:tc>
        <w:tc>
          <w:tcPr>
            <w:tcW w:w="2292" w:type="dxa"/>
            <w:shd w:val="clear" w:color="auto" w:fill="B8CCE4" w:themeFill="accent1" w:themeFillTint="66"/>
          </w:tcPr>
          <w:p w:rsidR="008F1A77" w:rsidRPr="00805FB4" w:rsidRDefault="00805FB4" w:rsidP="00805F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F1A77" w:rsidRPr="00805FB4">
              <w:rPr>
                <w:sz w:val="28"/>
                <w:szCs w:val="28"/>
              </w:rPr>
              <w:t>5 - 2</w:t>
            </w:r>
            <w:r>
              <w:rPr>
                <w:sz w:val="28"/>
                <w:szCs w:val="28"/>
              </w:rPr>
              <w:t>2</w:t>
            </w:r>
            <w:r w:rsidR="008F1A77" w:rsidRPr="00805FB4">
              <w:rPr>
                <w:sz w:val="28"/>
                <w:szCs w:val="28"/>
              </w:rPr>
              <w:t>2</w:t>
            </w:r>
          </w:p>
        </w:tc>
        <w:tc>
          <w:tcPr>
            <w:tcW w:w="2354" w:type="dxa"/>
            <w:shd w:val="clear" w:color="auto" w:fill="B8CCE4" w:themeFill="accent1" w:themeFillTint="66"/>
          </w:tcPr>
          <w:p w:rsidR="008F1A77" w:rsidRPr="00805FB4" w:rsidRDefault="00733205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3016</w:t>
            </w:r>
            <w:r w:rsidR="008F1A77" w:rsidRPr="00805FB4">
              <w:rPr>
                <w:sz w:val="28"/>
                <w:szCs w:val="28"/>
              </w:rPr>
              <w:t>.00</w:t>
            </w:r>
          </w:p>
        </w:tc>
        <w:tc>
          <w:tcPr>
            <w:tcW w:w="2355" w:type="dxa"/>
            <w:shd w:val="clear" w:color="auto" w:fill="B8CCE4" w:themeFill="accent1" w:themeFillTint="66"/>
          </w:tcPr>
          <w:p w:rsidR="008F1A77" w:rsidRPr="00805FB4" w:rsidRDefault="00733205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208</w:t>
            </w:r>
          </w:p>
        </w:tc>
        <w:tc>
          <w:tcPr>
            <w:tcW w:w="2453" w:type="dxa"/>
            <w:shd w:val="clear" w:color="auto" w:fill="B8CCE4" w:themeFill="accent1" w:themeFillTint="66"/>
          </w:tcPr>
          <w:p w:rsidR="008F1A77" w:rsidRPr="00805FB4" w:rsidRDefault="00733205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16</w:t>
            </w:r>
          </w:p>
        </w:tc>
      </w:tr>
      <w:tr w:rsidR="008F1A77" w:rsidTr="00733205">
        <w:tc>
          <w:tcPr>
            <w:tcW w:w="2395" w:type="dxa"/>
            <w:vMerge/>
            <w:shd w:val="clear" w:color="auto" w:fill="B8CCE4" w:themeFill="accent1" w:themeFillTint="66"/>
          </w:tcPr>
          <w:p w:rsidR="008F1A77" w:rsidRPr="00805FB4" w:rsidRDefault="008F1A77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8CCE4" w:themeFill="accent1" w:themeFillTint="66"/>
          </w:tcPr>
          <w:p w:rsidR="008F1A77" w:rsidRPr="00805FB4" w:rsidRDefault="008F1A77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Medium</w:t>
            </w:r>
          </w:p>
        </w:tc>
        <w:tc>
          <w:tcPr>
            <w:tcW w:w="2292" w:type="dxa"/>
            <w:shd w:val="clear" w:color="auto" w:fill="B8CCE4" w:themeFill="accent1" w:themeFillTint="66"/>
          </w:tcPr>
          <w:p w:rsidR="008F1A77" w:rsidRPr="00805FB4" w:rsidRDefault="008F1A77" w:rsidP="00805FB4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</w:t>
            </w:r>
            <w:r w:rsidR="00805FB4">
              <w:rPr>
                <w:sz w:val="28"/>
                <w:szCs w:val="28"/>
              </w:rPr>
              <w:t>2</w:t>
            </w:r>
            <w:r w:rsidRPr="00805FB4">
              <w:rPr>
                <w:sz w:val="28"/>
                <w:szCs w:val="28"/>
              </w:rPr>
              <w:t>3 - 2</w:t>
            </w:r>
            <w:r w:rsidR="00805FB4">
              <w:rPr>
                <w:sz w:val="28"/>
                <w:szCs w:val="28"/>
              </w:rPr>
              <w:t>3</w:t>
            </w:r>
            <w:r w:rsidRPr="00805FB4">
              <w:rPr>
                <w:sz w:val="28"/>
                <w:szCs w:val="28"/>
              </w:rPr>
              <w:t>9</w:t>
            </w:r>
          </w:p>
        </w:tc>
        <w:tc>
          <w:tcPr>
            <w:tcW w:w="2354" w:type="dxa"/>
            <w:shd w:val="clear" w:color="auto" w:fill="B8CCE4" w:themeFill="accent1" w:themeFillTint="66"/>
          </w:tcPr>
          <w:p w:rsidR="008F1A77" w:rsidRPr="00805FB4" w:rsidRDefault="00733205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3770.00</w:t>
            </w:r>
          </w:p>
        </w:tc>
        <w:tc>
          <w:tcPr>
            <w:tcW w:w="2355" w:type="dxa"/>
            <w:shd w:val="clear" w:color="auto" w:fill="B8CCE4" w:themeFill="accent1" w:themeFillTint="66"/>
          </w:tcPr>
          <w:p w:rsidR="008F1A77" w:rsidRPr="00805FB4" w:rsidRDefault="00733205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260</w:t>
            </w:r>
          </w:p>
        </w:tc>
        <w:tc>
          <w:tcPr>
            <w:tcW w:w="2453" w:type="dxa"/>
            <w:shd w:val="clear" w:color="auto" w:fill="B8CCE4" w:themeFill="accent1" w:themeFillTint="66"/>
          </w:tcPr>
          <w:p w:rsidR="008F1A77" w:rsidRPr="00805FB4" w:rsidRDefault="00733205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20</w:t>
            </w:r>
          </w:p>
        </w:tc>
      </w:tr>
      <w:tr w:rsidR="008F1A77" w:rsidTr="00733205"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1A77" w:rsidRPr="00805FB4" w:rsidRDefault="008F1A77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1A77" w:rsidRPr="00805FB4" w:rsidRDefault="008F1A77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High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1A77" w:rsidRPr="00805FB4" w:rsidRDefault="00805FB4" w:rsidP="00805F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F1A77" w:rsidRPr="00805FB4">
              <w:rPr>
                <w:sz w:val="28"/>
                <w:szCs w:val="28"/>
              </w:rPr>
              <w:t>0 - 2</w:t>
            </w:r>
            <w:r>
              <w:rPr>
                <w:sz w:val="28"/>
                <w:szCs w:val="28"/>
              </w:rPr>
              <w:t>5</w:t>
            </w:r>
            <w:r w:rsidR="008F1A77" w:rsidRPr="00805FB4">
              <w:rPr>
                <w:sz w:val="28"/>
                <w:szCs w:val="28"/>
              </w:rPr>
              <w:t>6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1A77" w:rsidRPr="00805FB4" w:rsidRDefault="00733205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4524.00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1A77" w:rsidRPr="00805FB4" w:rsidRDefault="00733205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312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1A77" w:rsidRPr="00805FB4" w:rsidRDefault="00733205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24</w:t>
            </w:r>
          </w:p>
        </w:tc>
      </w:tr>
      <w:tr w:rsidR="008E0B49" w:rsidTr="00733205">
        <w:tc>
          <w:tcPr>
            <w:tcW w:w="2395" w:type="dxa"/>
            <w:vMerge w:val="restart"/>
            <w:shd w:val="clear" w:color="auto" w:fill="8DB3E2" w:themeFill="text2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  <w:r w:rsidRPr="00805FB4">
              <w:rPr>
                <w:b/>
                <w:sz w:val="28"/>
                <w:szCs w:val="28"/>
              </w:rPr>
              <w:t>Exceptional Support</w:t>
            </w:r>
          </w:p>
        </w:tc>
        <w:tc>
          <w:tcPr>
            <w:tcW w:w="2325" w:type="dxa"/>
            <w:shd w:val="clear" w:color="auto" w:fill="8DB3E2" w:themeFill="text2" w:themeFillTint="66"/>
          </w:tcPr>
          <w:p w:rsidR="008E0B49" w:rsidRPr="00805FB4" w:rsidRDefault="008E0B49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Low</w:t>
            </w:r>
          </w:p>
        </w:tc>
        <w:tc>
          <w:tcPr>
            <w:tcW w:w="2292" w:type="dxa"/>
            <w:shd w:val="clear" w:color="auto" w:fill="8DB3E2" w:themeFill="text2" w:themeFillTint="66"/>
          </w:tcPr>
          <w:p w:rsidR="008E0B49" w:rsidRPr="00805FB4" w:rsidRDefault="008F1A77" w:rsidP="00805FB4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</w:t>
            </w:r>
            <w:r w:rsidR="00805FB4">
              <w:rPr>
                <w:sz w:val="28"/>
                <w:szCs w:val="28"/>
              </w:rPr>
              <w:t>5</w:t>
            </w:r>
            <w:r w:rsidRPr="00805FB4">
              <w:rPr>
                <w:sz w:val="28"/>
                <w:szCs w:val="28"/>
              </w:rPr>
              <w:t xml:space="preserve">7 - </w:t>
            </w:r>
            <w:r w:rsidR="008E0B49" w:rsidRPr="00805FB4">
              <w:rPr>
                <w:sz w:val="28"/>
                <w:szCs w:val="28"/>
              </w:rPr>
              <w:t>2</w:t>
            </w:r>
            <w:r w:rsidR="00805FB4">
              <w:rPr>
                <w:sz w:val="28"/>
                <w:szCs w:val="28"/>
              </w:rPr>
              <w:t>7</w:t>
            </w:r>
            <w:r w:rsidRPr="00805FB4">
              <w:rPr>
                <w:sz w:val="28"/>
                <w:szCs w:val="28"/>
              </w:rPr>
              <w:t>4</w:t>
            </w:r>
          </w:p>
        </w:tc>
        <w:tc>
          <w:tcPr>
            <w:tcW w:w="2354" w:type="dxa"/>
            <w:shd w:val="clear" w:color="auto" w:fill="8DB3E2" w:themeFill="tex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5655.00</w:t>
            </w:r>
          </w:p>
        </w:tc>
        <w:tc>
          <w:tcPr>
            <w:tcW w:w="2355" w:type="dxa"/>
            <w:shd w:val="clear" w:color="auto" w:fill="8DB3E2" w:themeFill="tex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390</w:t>
            </w:r>
          </w:p>
        </w:tc>
        <w:tc>
          <w:tcPr>
            <w:tcW w:w="2453" w:type="dxa"/>
            <w:shd w:val="clear" w:color="auto" w:fill="8DB3E2" w:themeFill="text2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30</w:t>
            </w:r>
          </w:p>
        </w:tc>
      </w:tr>
      <w:tr w:rsidR="008E0B49" w:rsidTr="00733205">
        <w:tc>
          <w:tcPr>
            <w:tcW w:w="2395" w:type="dxa"/>
            <w:vMerge/>
            <w:shd w:val="clear" w:color="auto" w:fill="8DB3E2" w:themeFill="text2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8DB3E2" w:themeFill="text2" w:themeFillTint="66"/>
          </w:tcPr>
          <w:p w:rsidR="008E0B49" w:rsidRPr="00805FB4" w:rsidRDefault="008E0B49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Medium</w:t>
            </w:r>
          </w:p>
        </w:tc>
        <w:tc>
          <w:tcPr>
            <w:tcW w:w="2292" w:type="dxa"/>
            <w:shd w:val="clear" w:color="auto" w:fill="8DB3E2" w:themeFill="text2" w:themeFillTint="66"/>
          </w:tcPr>
          <w:p w:rsidR="008E0B49" w:rsidRPr="00805FB4" w:rsidRDefault="008F1A77" w:rsidP="00805FB4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</w:t>
            </w:r>
            <w:r w:rsidR="00805FB4">
              <w:rPr>
                <w:sz w:val="28"/>
                <w:szCs w:val="28"/>
              </w:rPr>
              <w:t>7</w:t>
            </w:r>
            <w:r w:rsidRPr="00805FB4">
              <w:rPr>
                <w:sz w:val="28"/>
                <w:szCs w:val="28"/>
              </w:rPr>
              <w:t>5 - 2</w:t>
            </w:r>
            <w:r w:rsidR="00805FB4">
              <w:rPr>
                <w:sz w:val="28"/>
                <w:szCs w:val="28"/>
              </w:rPr>
              <w:t>9</w:t>
            </w:r>
            <w:r w:rsidRPr="00805FB4">
              <w:rPr>
                <w:sz w:val="28"/>
                <w:szCs w:val="28"/>
              </w:rPr>
              <w:t>1</w:t>
            </w:r>
          </w:p>
        </w:tc>
        <w:tc>
          <w:tcPr>
            <w:tcW w:w="2354" w:type="dxa"/>
            <w:shd w:val="clear" w:color="auto" w:fill="8DB3E2" w:themeFill="tex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6597.50</w:t>
            </w:r>
          </w:p>
        </w:tc>
        <w:tc>
          <w:tcPr>
            <w:tcW w:w="2355" w:type="dxa"/>
            <w:shd w:val="clear" w:color="auto" w:fill="8DB3E2" w:themeFill="tex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455</w:t>
            </w:r>
          </w:p>
        </w:tc>
        <w:tc>
          <w:tcPr>
            <w:tcW w:w="2453" w:type="dxa"/>
            <w:shd w:val="clear" w:color="auto" w:fill="8DB3E2" w:themeFill="text2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35</w:t>
            </w:r>
          </w:p>
        </w:tc>
      </w:tr>
      <w:tr w:rsidR="008E0B49" w:rsidTr="00FA79C1"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0B49" w:rsidRPr="00805FB4" w:rsidRDefault="008E0B49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0B49" w:rsidRPr="00805FB4" w:rsidRDefault="008E0B49" w:rsidP="00275E90">
            <w:pPr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High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0B49" w:rsidRPr="00805FB4" w:rsidRDefault="008F1A77" w:rsidP="00805FB4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2</w:t>
            </w:r>
            <w:r w:rsidR="00805FB4">
              <w:rPr>
                <w:sz w:val="28"/>
                <w:szCs w:val="28"/>
              </w:rPr>
              <w:t>9</w:t>
            </w:r>
            <w:r w:rsidRPr="00805FB4">
              <w:rPr>
                <w:sz w:val="28"/>
                <w:szCs w:val="28"/>
              </w:rPr>
              <w:t xml:space="preserve">2 - </w:t>
            </w:r>
            <w:r w:rsidR="008E0B49" w:rsidRPr="00805FB4">
              <w:rPr>
                <w:sz w:val="28"/>
                <w:szCs w:val="28"/>
              </w:rPr>
              <w:t>324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7540.00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0B49" w:rsidRPr="00805FB4" w:rsidRDefault="009B4A4E" w:rsidP="008E0B49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520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0B49" w:rsidRPr="00805FB4" w:rsidRDefault="008E0B49" w:rsidP="00275E90">
            <w:pPr>
              <w:jc w:val="right"/>
              <w:rPr>
                <w:sz w:val="28"/>
                <w:szCs w:val="28"/>
              </w:rPr>
            </w:pPr>
            <w:r w:rsidRPr="00805FB4">
              <w:rPr>
                <w:sz w:val="28"/>
                <w:szCs w:val="28"/>
              </w:rPr>
              <w:t>40</w:t>
            </w:r>
          </w:p>
        </w:tc>
      </w:tr>
      <w:tr w:rsidR="00FA79C1" w:rsidTr="00805FB4">
        <w:trPr>
          <w:trHeight w:val="70"/>
        </w:trPr>
        <w:tc>
          <w:tcPr>
            <w:tcW w:w="14174" w:type="dxa"/>
            <w:gridSpan w:val="6"/>
            <w:shd w:val="clear" w:color="auto" w:fill="BFBFBF" w:themeFill="background1" w:themeFillShade="BF"/>
          </w:tcPr>
          <w:p w:rsidR="00FA79C1" w:rsidRPr="00805FB4" w:rsidRDefault="00FA79C1" w:rsidP="00FA79C1">
            <w:pPr>
              <w:rPr>
                <w:b/>
                <w:sz w:val="28"/>
                <w:szCs w:val="28"/>
              </w:rPr>
            </w:pPr>
            <w:bookmarkStart w:id="0" w:name="_GoBack"/>
            <w:r w:rsidRPr="00805FB4">
              <w:rPr>
                <w:b/>
                <w:sz w:val="28"/>
                <w:szCs w:val="28"/>
              </w:rPr>
              <w:t>In very exceptional circumstances, subject to assessment and agreement at the Quality Assurance Panel additional resource will be made available to support children and young people to remain within their family</w:t>
            </w:r>
            <w:bookmarkEnd w:id="0"/>
          </w:p>
        </w:tc>
      </w:tr>
    </w:tbl>
    <w:p w:rsidR="00296694" w:rsidRDefault="00296694"/>
    <w:p w:rsidR="00805FB4" w:rsidRDefault="00805FB4">
      <w:pPr>
        <w:rPr>
          <w:u w:val="single"/>
        </w:rPr>
      </w:pPr>
    </w:p>
    <w:p w:rsidR="00805FB4" w:rsidRDefault="00805FB4">
      <w:pPr>
        <w:rPr>
          <w:u w:val="single"/>
        </w:rPr>
      </w:pPr>
      <w:r w:rsidRPr="00805FB4">
        <w:rPr>
          <w:u w:val="single"/>
        </w:rPr>
        <w:lastRenderedPageBreak/>
        <w:t>Notes</w:t>
      </w:r>
    </w:p>
    <w:p w:rsidR="00805FB4" w:rsidRDefault="00805FB4">
      <w:r>
        <w:t>This table has changed from the previous consultation, key differences are;</w:t>
      </w:r>
    </w:p>
    <w:p w:rsidR="00805FB4" w:rsidRDefault="00805FB4" w:rsidP="00CF5224">
      <w:pPr>
        <w:pStyle w:val="ListParagraph"/>
        <w:numPr>
          <w:ilvl w:val="0"/>
          <w:numId w:val="1"/>
        </w:numPr>
        <w:ind w:left="360"/>
      </w:pPr>
      <w:r>
        <w:t>Hourly rate changed to £14.50 (</w:t>
      </w:r>
      <w:r w:rsidR="00CF5224">
        <w:t xml:space="preserve">up by 3.6% from </w:t>
      </w:r>
      <w:r>
        <w:t>£14.00 previously</w:t>
      </w:r>
      <w:r w:rsidR="00CF5224">
        <w:t>, which itself was a 34% rise on existing DP rate of £10.44</w:t>
      </w:r>
      <w:r>
        <w:t>)</w:t>
      </w:r>
    </w:p>
    <w:p w:rsidR="00805FB4" w:rsidRDefault="00805FB4" w:rsidP="00CF5224">
      <w:pPr>
        <w:pStyle w:val="ListParagraph"/>
        <w:numPr>
          <w:ilvl w:val="0"/>
          <w:numId w:val="1"/>
        </w:numPr>
        <w:ind w:left="360"/>
      </w:pPr>
      <w:r>
        <w:t>Each support band now includes three levels: Low, Medium and High</w:t>
      </w:r>
    </w:p>
    <w:p w:rsidR="00805FB4" w:rsidRDefault="00CF5224" w:rsidP="00CF5224">
      <w:pPr>
        <w:pStyle w:val="ListParagraph"/>
        <w:numPr>
          <w:ilvl w:val="0"/>
          <w:numId w:val="1"/>
        </w:numPr>
        <w:ind w:left="360"/>
      </w:pPr>
      <w:r>
        <w:t xml:space="preserve">Hours now available </w:t>
      </w:r>
      <w:r w:rsidR="007D16AF">
        <w:t xml:space="preserve">on a </w:t>
      </w:r>
      <w:r>
        <w:t xml:space="preserve">4 week </w:t>
      </w:r>
      <w:r w:rsidR="007D16AF">
        <w:t>cycle</w:t>
      </w:r>
      <w:r>
        <w:t xml:space="preserve"> (to coincide with WCC Direct Payment </w:t>
      </w:r>
      <w:proofErr w:type="spellStart"/>
      <w:r>
        <w:t>payment</w:t>
      </w:r>
      <w:proofErr w:type="spellEnd"/>
      <w:r>
        <w:t xml:space="preserve"> schedule</w:t>
      </w:r>
      <w:r w:rsidR="007D16AF">
        <w:t>) This will result</w:t>
      </w:r>
      <w:r>
        <w:t xml:space="preserve"> in </w:t>
      </w:r>
      <w:r w:rsidR="007D16AF">
        <w:t xml:space="preserve">a </w:t>
      </w:r>
      <w:r>
        <w:t>8.3% increase in hours available to service users</w:t>
      </w:r>
      <w:r w:rsidR="007D16AF">
        <w:t xml:space="preserve"> across a year as the previous monthly figure has been utilised for the four week resource period</w:t>
      </w:r>
      <w:r>
        <w:t xml:space="preserve"> </w:t>
      </w:r>
      <w:proofErr w:type="spellStart"/>
      <w:r>
        <w:t>i.e</w:t>
      </w:r>
      <w:proofErr w:type="spellEnd"/>
      <w:r>
        <w:t xml:space="preserve"> rather than 12 monthly </w:t>
      </w:r>
      <w:r w:rsidR="007D16AF">
        <w:t xml:space="preserve">resource periods there will be 13 four weekly resource periods in a calendar year </w:t>
      </w:r>
      <w:r>
        <w:t>)</w:t>
      </w:r>
    </w:p>
    <w:p w:rsidR="00CF5224" w:rsidRDefault="00CF5224" w:rsidP="00CF5224">
      <w:pPr>
        <w:pStyle w:val="ListParagraph"/>
        <w:numPr>
          <w:ilvl w:val="0"/>
          <w:numId w:val="1"/>
        </w:numPr>
        <w:ind w:left="360"/>
      </w:pPr>
      <w:r>
        <w:t>Points scoring table ‘smoothed’ to provide a more graduated change</w:t>
      </w:r>
    </w:p>
    <w:p w:rsidR="00805FB4" w:rsidRPr="00805FB4" w:rsidRDefault="00805FB4" w:rsidP="00CF5224"/>
    <w:sectPr w:rsidR="00805FB4" w:rsidRPr="00805FB4" w:rsidSect="00805F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C0A"/>
    <w:multiLevelType w:val="hybridMultilevel"/>
    <w:tmpl w:val="F166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94"/>
    <w:rsid w:val="000968C6"/>
    <w:rsid w:val="00296694"/>
    <w:rsid w:val="00584430"/>
    <w:rsid w:val="00733205"/>
    <w:rsid w:val="007D16AF"/>
    <w:rsid w:val="00805FB4"/>
    <w:rsid w:val="008E0B49"/>
    <w:rsid w:val="008F1A77"/>
    <w:rsid w:val="009B4A4E"/>
    <w:rsid w:val="00AC0239"/>
    <w:rsid w:val="00BB3199"/>
    <w:rsid w:val="00C43478"/>
    <w:rsid w:val="00CF5224"/>
    <w:rsid w:val="00E141AD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Wells</dc:creator>
  <cp:lastModifiedBy>Adrian Wells</cp:lastModifiedBy>
  <cp:revision>2</cp:revision>
  <cp:lastPrinted>2015-03-31T13:34:00Z</cp:lastPrinted>
  <dcterms:created xsi:type="dcterms:W3CDTF">2015-04-02T10:40:00Z</dcterms:created>
  <dcterms:modified xsi:type="dcterms:W3CDTF">2015-04-02T10:40:00Z</dcterms:modified>
</cp:coreProperties>
</file>