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7C" w:rsidRPr="00097558" w:rsidRDefault="005A039C" w:rsidP="005A039C">
      <w:pPr>
        <w:jc w:val="center"/>
        <w:rPr>
          <w:b/>
        </w:rPr>
      </w:pPr>
      <w:bookmarkStart w:id="0" w:name="_GoBack"/>
      <w:bookmarkEnd w:id="0"/>
      <w:r w:rsidRPr="00097558">
        <w:rPr>
          <w:b/>
        </w:rPr>
        <w:t>Move Improve Consultation Report</w:t>
      </w:r>
    </w:p>
    <w:p w:rsidR="005A039C" w:rsidRPr="00EE5E26" w:rsidRDefault="005A039C" w:rsidP="005A039C">
      <w:pPr>
        <w:rPr>
          <w:b/>
          <w:sz w:val="22"/>
          <w:szCs w:val="22"/>
        </w:rPr>
      </w:pPr>
      <w:r w:rsidRPr="00EE5E26">
        <w:rPr>
          <w:b/>
          <w:sz w:val="22"/>
          <w:szCs w:val="22"/>
        </w:rPr>
        <w:t>Background</w:t>
      </w:r>
    </w:p>
    <w:p w:rsidR="00097558" w:rsidRDefault="005A039C" w:rsidP="005A039C">
      <w:pPr>
        <w:rPr>
          <w:sz w:val="22"/>
          <w:szCs w:val="22"/>
        </w:rPr>
      </w:pPr>
      <w:r w:rsidRPr="00EE5E26">
        <w:rPr>
          <w:sz w:val="22"/>
          <w:szCs w:val="22"/>
        </w:rPr>
        <w:t xml:space="preserve">The Move Improve survey consultation took place between </w:t>
      </w:r>
      <w:r w:rsidR="00EE5E26" w:rsidRPr="00EE5E26">
        <w:rPr>
          <w:sz w:val="22"/>
          <w:szCs w:val="22"/>
        </w:rPr>
        <w:t>12</w:t>
      </w:r>
      <w:r w:rsidR="00EE5E26" w:rsidRPr="00EE5E26">
        <w:rPr>
          <w:sz w:val="22"/>
          <w:szCs w:val="22"/>
          <w:vertAlign w:val="superscript"/>
        </w:rPr>
        <w:t>th</w:t>
      </w:r>
      <w:r w:rsidR="00EE5E26" w:rsidRPr="00EE5E26">
        <w:rPr>
          <w:sz w:val="22"/>
          <w:szCs w:val="22"/>
        </w:rPr>
        <w:t xml:space="preserve"> June</w:t>
      </w:r>
      <w:r w:rsidRPr="00EE5E26">
        <w:rPr>
          <w:sz w:val="22"/>
          <w:szCs w:val="22"/>
        </w:rPr>
        <w:t xml:space="preserve"> and </w:t>
      </w:r>
      <w:r w:rsidR="00EE5E26" w:rsidRPr="00EE5E26">
        <w:rPr>
          <w:sz w:val="22"/>
          <w:szCs w:val="22"/>
        </w:rPr>
        <w:t>18th July 2017</w:t>
      </w:r>
      <w:r w:rsidRPr="00EE5E26">
        <w:rPr>
          <w:sz w:val="22"/>
          <w:szCs w:val="22"/>
        </w:rPr>
        <w:t xml:space="preserve">. </w:t>
      </w:r>
      <w:r w:rsidR="00EE5E26" w:rsidRPr="00EE5E26">
        <w:rPr>
          <w:sz w:val="22"/>
          <w:szCs w:val="22"/>
        </w:rPr>
        <w:t>In total there were 1</w:t>
      </w:r>
      <w:r w:rsidR="00692B4C">
        <w:rPr>
          <w:sz w:val="22"/>
          <w:szCs w:val="22"/>
        </w:rPr>
        <w:t>7</w:t>
      </w:r>
      <w:r w:rsidR="00EE5E26" w:rsidRPr="00EE5E26">
        <w:rPr>
          <w:sz w:val="22"/>
          <w:szCs w:val="22"/>
        </w:rPr>
        <w:t xml:space="preserve">4 responses to the survey. Seventy </w:t>
      </w:r>
      <w:r w:rsidR="00692B4C">
        <w:rPr>
          <w:sz w:val="22"/>
          <w:szCs w:val="22"/>
        </w:rPr>
        <w:t>two</w:t>
      </w:r>
      <w:r w:rsidR="00EE5E26" w:rsidRPr="00EE5E26">
        <w:rPr>
          <w:sz w:val="22"/>
          <w:szCs w:val="22"/>
        </w:rPr>
        <w:t xml:space="preserve"> percent of the surveys were completed online while the remainder were completed as paper copies.</w:t>
      </w:r>
      <w:r w:rsidR="007127F8">
        <w:rPr>
          <w:sz w:val="22"/>
          <w:szCs w:val="22"/>
        </w:rPr>
        <w:t xml:space="preserve"> </w:t>
      </w:r>
    </w:p>
    <w:p w:rsidR="005A039C" w:rsidRDefault="005A039C" w:rsidP="005A039C">
      <w:pPr>
        <w:rPr>
          <w:b/>
          <w:sz w:val="22"/>
          <w:szCs w:val="22"/>
        </w:rPr>
      </w:pPr>
      <w:r w:rsidRPr="00EE5E26">
        <w:rPr>
          <w:b/>
          <w:sz w:val="22"/>
          <w:szCs w:val="22"/>
        </w:rPr>
        <w:t>Key Messages</w:t>
      </w:r>
    </w:p>
    <w:p w:rsidR="007622D9" w:rsidRDefault="007622D9" w:rsidP="007622D9">
      <w:pPr>
        <w:pStyle w:val="ListParagraph"/>
        <w:numPr>
          <w:ilvl w:val="0"/>
          <w:numId w:val="11"/>
        </w:numPr>
        <w:rPr>
          <w:b/>
          <w:sz w:val="22"/>
          <w:szCs w:val="22"/>
        </w:rPr>
      </w:pPr>
      <w:r>
        <w:rPr>
          <w:b/>
          <w:sz w:val="22"/>
          <w:szCs w:val="22"/>
        </w:rPr>
        <w:t>Just under half (46%) of respondents said they would use the proposed Move Improve service. A similar proportion (43%) indicated they were unsure if they would use it.</w:t>
      </w:r>
    </w:p>
    <w:p w:rsidR="00537305" w:rsidRDefault="00537305" w:rsidP="007622D9">
      <w:pPr>
        <w:pStyle w:val="ListParagraph"/>
        <w:numPr>
          <w:ilvl w:val="0"/>
          <w:numId w:val="11"/>
        </w:numPr>
        <w:rPr>
          <w:b/>
          <w:sz w:val="22"/>
          <w:szCs w:val="22"/>
        </w:rPr>
      </w:pPr>
      <w:r>
        <w:rPr>
          <w:b/>
          <w:sz w:val="22"/>
          <w:szCs w:val="22"/>
        </w:rPr>
        <w:t>Over three quarters of all respondents (public and stakeholders) thought there was a need for the proposed service</w:t>
      </w:r>
      <w:r w:rsidR="00CF39C1">
        <w:rPr>
          <w:b/>
          <w:sz w:val="22"/>
          <w:szCs w:val="22"/>
        </w:rPr>
        <w:t>.</w:t>
      </w:r>
    </w:p>
    <w:p w:rsidR="00521DCF" w:rsidRDefault="00537305" w:rsidP="007622D9">
      <w:pPr>
        <w:pStyle w:val="ListParagraph"/>
        <w:numPr>
          <w:ilvl w:val="0"/>
          <w:numId w:val="11"/>
        </w:numPr>
        <w:rPr>
          <w:b/>
          <w:sz w:val="22"/>
          <w:szCs w:val="22"/>
        </w:rPr>
      </w:pPr>
      <w:r>
        <w:rPr>
          <w:b/>
          <w:sz w:val="22"/>
          <w:szCs w:val="22"/>
        </w:rPr>
        <w:t xml:space="preserve">There were high agreement scores </w:t>
      </w:r>
      <w:r w:rsidR="00521DCF">
        <w:rPr>
          <w:b/>
          <w:sz w:val="22"/>
          <w:szCs w:val="22"/>
        </w:rPr>
        <w:t xml:space="preserve">(&gt; 70%) </w:t>
      </w:r>
      <w:r>
        <w:rPr>
          <w:b/>
          <w:sz w:val="22"/>
          <w:szCs w:val="22"/>
        </w:rPr>
        <w:t>for all of the criteria proposed for the new service</w:t>
      </w:r>
      <w:r w:rsidR="00521DCF">
        <w:rPr>
          <w:b/>
          <w:sz w:val="22"/>
          <w:szCs w:val="22"/>
        </w:rPr>
        <w:t xml:space="preserve"> except for the criteria relating to age.</w:t>
      </w:r>
    </w:p>
    <w:p w:rsidR="00306ACB" w:rsidRDefault="00521DCF" w:rsidP="007622D9">
      <w:pPr>
        <w:pStyle w:val="ListParagraph"/>
        <w:numPr>
          <w:ilvl w:val="0"/>
          <w:numId w:val="11"/>
        </w:numPr>
        <w:rPr>
          <w:b/>
          <w:sz w:val="22"/>
          <w:szCs w:val="22"/>
        </w:rPr>
      </w:pPr>
      <w:r w:rsidRPr="00306ACB">
        <w:rPr>
          <w:b/>
          <w:sz w:val="22"/>
          <w:szCs w:val="22"/>
        </w:rPr>
        <w:t xml:space="preserve">Fewer respondents in both </w:t>
      </w:r>
      <w:r w:rsidR="00537305" w:rsidRPr="00306ACB">
        <w:rPr>
          <w:b/>
          <w:sz w:val="22"/>
          <w:szCs w:val="22"/>
        </w:rPr>
        <w:t xml:space="preserve">categories thought </w:t>
      </w:r>
      <w:r w:rsidRPr="00306ACB">
        <w:rPr>
          <w:b/>
          <w:sz w:val="22"/>
          <w:szCs w:val="22"/>
        </w:rPr>
        <w:t>the proposed Move Improve</w:t>
      </w:r>
      <w:r w:rsidR="00306ACB" w:rsidRPr="00306ACB">
        <w:rPr>
          <w:b/>
          <w:sz w:val="22"/>
          <w:szCs w:val="22"/>
        </w:rPr>
        <w:t xml:space="preserve"> service</w:t>
      </w:r>
      <w:r w:rsidR="00537305" w:rsidRPr="00306ACB">
        <w:rPr>
          <w:b/>
          <w:sz w:val="22"/>
          <w:szCs w:val="22"/>
        </w:rPr>
        <w:t xml:space="preserve"> should be ‘for Warwickshire residents </w:t>
      </w:r>
      <w:r w:rsidR="007127F8" w:rsidRPr="00306ACB">
        <w:rPr>
          <w:b/>
          <w:sz w:val="22"/>
          <w:szCs w:val="22"/>
        </w:rPr>
        <w:t>aged 50 years and over’</w:t>
      </w:r>
      <w:r w:rsidRPr="00306ACB">
        <w:rPr>
          <w:b/>
          <w:sz w:val="22"/>
          <w:szCs w:val="22"/>
        </w:rPr>
        <w:t xml:space="preserve">. </w:t>
      </w:r>
    </w:p>
    <w:p w:rsidR="007622D9" w:rsidRPr="00306ACB" w:rsidRDefault="007622D9" w:rsidP="007622D9">
      <w:pPr>
        <w:pStyle w:val="ListParagraph"/>
        <w:numPr>
          <w:ilvl w:val="0"/>
          <w:numId w:val="11"/>
        </w:numPr>
        <w:rPr>
          <w:b/>
          <w:sz w:val="22"/>
          <w:szCs w:val="22"/>
        </w:rPr>
      </w:pPr>
      <w:r w:rsidRPr="00306ACB">
        <w:rPr>
          <w:b/>
          <w:sz w:val="22"/>
          <w:szCs w:val="22"/>
        </w:rPr>
        <w:t>The top preference for public/carers/friends/relatives</w:t>
      </w:r>
      <w:r w:rsidR="007F0A3D">
        <w:rPr>
          <w:b/>
          <w:sz w:val="22"/>
          <w:szCs w:val="22"/>
        </w:rPr>
        <w:t xml:space="preserve"> </w:t>
      </w:r>
      <w:r w:rsidRPr="00306ACB">
        <w:rPr>
          <w:b/>
          <w:sz w:val="22"/>
          <w:szCs w:val="22"/>
        </w:rPr>
        <w:t xml:space="preserve">for accessing the learning and development element of the proposed Move Improved service was face to face learning. </w:t>
      </w:r>
    </w:p>
    <w:p w:rsidR="007622D9" w:rsidRDefault="007622D9" w:rsidP="007622D9">
      <w:pPr>
        <w:pStyle w:val="ListParagraph"/>
        <w:numPr>
          <w:ilvl w:val="0"/>
          <w:numId w:val="11"/>
        </w:numPr>
        <w:rPr>
          <w:b/>
          <w:sz w:val="22"/>
          <w:szCs w:val="22"/>
        </w:rPr>
      </w:pPr>
      <w:r>
        <w:rPr>
          <w:b/>
          <w:sz w:val="22"/>
          <w:szCs w:val="22"/>
        </w:rPr>
        <w:t xml:space="preserve">For stakeholders, online training </w:t>
      </w:r>
      <w:r w:rsidR="00234837">
        <w:rPr>
          <w:b/>
          <w:sz w:val="22"/>
          <w:szCs w:val="22"/>
        </w:rPr>
        <w:t>would be</w:t>
      </w:r>
      <w:r>
        <w:rPr>
          <w:b/>
          <w:sz w:val="22"/>
          <w:szCs w:val="22"/>
        </w:rPr>
        <w:t xml:space="preserve"> the most popular way of accessing learning and development associated with the proposed service.</w:t>
      </w:r>
    </w:p>
    <w:p w:rsidR="002706B7" w:rsidRDefault="002706B7" w:rsidP="007622D9">
      <w:pPr>
        <w:pStyle w:val="ListParagraph"/>
        <w:numPr>
          <w:ilvl w:val="0"/>
          <w:numId w:val="11"/>
        </w:numPr>
        <w:rPr>
          <w:b/>
          <w:sz w:val="22"/>
          <w:szCs w:val="22"/>
        </w:rPr>
      </w:pPr>
      <w:r>
        <w:rPr>
          <w:b/>
          <w:sz w:val="22"/>
          <w:szCs w:val="22"/>
        </w:rPr>
        <w:t>Seventy nine percent of stakeholders said they would refer to the proposed Move Improve service.</w:t>
      </w:r>
    </w:p>
    <w:p w:rsidR="00097558" w:rsidRDefault="00097558" w:rsidP="007622D9">
      <w:pPr>
        <w:pStyle w:val="ListParagraph"/>
        <w:numPr>
          <w:ilvl w:val="0"/>
          <w:numId w:val="11"/>
        </w:numPr>
        <w:rPr>
          <w:b/>
          <w:sz w:val="22"/>
          <w:szCs w:val="22"/>
        </w:rPr>
      </w:pPr>
      <w:r>
        <w:rPr>
          <w:b/>
          <w:sz w:val="22"/>
          <w:szCs w:val="22"/>
        </w:rPr>
        <w:t>Community facilities were seen as the most popular venues in which to deliver the proposed Move Improve service</w:t>
      </w:r>
      <w:r w:rsidR="00CF39C1">
        <w:rPr>
          <w:b/>
          <w:sz w:val="22"/>
          <w:szCs w:val="22"/>
        </w:rPr>
        <w:t>.</w:t>
      </w:r>
    </w:p>
    <w:p w:rsidR="00097558" w:rsidRDefault="00097558" w:rsidP="007622D9">
      <w:pPr>
        <w:pStyle w:val="ListParagraph"/>
        <w:numPr>
          <w:ilvl w:val="0"/>
          <w:numId w:val="11"/>
        </w:numPr>
        <w:rPr>
          <w:b/>
          <w:sz w:val="22"/>
          <w:szCs w:val="22"/>
        </w:rPr>
      </w:pPr>
      <w:r>
        <w:rPr>
          <w:b/>
          <w:sz w:val="22"/>
          <w:szCs w:val="22"/>
        </w:rPr>
        <w:t>Daytime was the most popular time for the proposed Move Improve service to be delivered but weekend and evenings were still highlighted as options</w:t>
      </w:r>
      <w:r w:rsidR="00CF39C1">
        <w:rPr>
          <w:b/>
          <w:sz w:val="22"/>
          <w:szCs w:val="22"/>
        </w:rPr>
        <w:t>.</w:t>
      </w:r>
    </w:p>
    <w:p w:rsidR="007F0A3D" w:rsidRDefault="007F0A3D" w:rsidP="007622D9">
      <w:pPr>
        <w:pStyle w:val="ListParagraph"/>
        <w:numPr>
          <w:ilvl w:val="0"/>
          <w:numId w:val="11"/>
        </w:numPr>
        <w:rPr>
          <w:b/>
          <w:sz w:val="22"/>
          <w:szCs w:val="22"/>
        </w:rPr>
      </w:pPr>
      <w:r>
        <w:rPr>
          <w:b/>
          <w:sz w:val="22"/>
          <w:szCs w:val="22"/>
        </w:rPr>
        <w:t xml:space="preserve">Comments submitted as part of the survey included; support and recognition of the benefits of a preventative service, a desire to know more detail about the proposed service, reference to the accessibility of the proposed service as well as suggestions to provide wider information </w:t>
      </w:r>
      <w:r w:rsidR="00CF39C1">
        <w:rPr>
          <w:b/>
          <w:sz w:val="22"/>
          <w:szCs w:val="22"/>
        </w:rPr>
        <w:t>about falls prevention in the community.</w:t>
      </w:r>
    </w:p>
    <w:p w:rsidR="005A039C" w:rsidRDefault="008F59D9" w:rsidP="005A039C">
      <w:pPr>
        <w:rPr>
          <w:b/>
          <w:sz w:val="22"/>
          <w:szCs w:val="22"/>
        </w:rPr>
      </w:pPr>
      <w:r>
        <w:rPr>
          <w:b/>
          <w:sz w:val="22"/>
          <w:szCs w:val="22"/>
        </w:rPr>
        <w:t xml:space="preserve">Q.1 All </w:t>
      </w:r>
      <w:r w:rsidR="005A039C" w:rsidRPr="00EE5E26">
        <w:rPr>
          <w:b/>
          <w:sz w:val="22"/>
          <w:szCs w:val="22"/>
        </w:rPr>
        <w:t>Respondents</w:t>
      </w:r>
    </w:p>
    <w:p w:rsidR="00EE5E26" w:rsidRDefault="00EE5E26" w:rsidP="005A039C">
      <w:pPr>
        <w:rPr>
          <w:sz w:val="22"/>
          <w:szCs w:val="22"/>
        </w:rPr>
      </w:pPr>
      <w:r>
        <w:rPr>
          <w:sz w:val="22"/>
          <w:szCs w:val="22"/>
        </w:rPr>
        <w:t>Respondents to the survey can be grouped into the following categories.</w:t>
      </w:r>
    </w:p>
    <w:p w:rsidR="008F59D9" w:rsidRPr="008F59D9" w:rsidRDefault="008F59D9" w:rsidP="005A039C">
      <w:pPr>
        <w:rPr>
          <w:b/>
          <w:sz w:val="22"/>
          <w:szCs w:val="22"/>
        </w:rPr>
      </w:pPr>
      <w:r>
        <w:rPr>
          <w:b/>
          <w:sz w:val="22"/>
          <w:szCs w:val="22"/>
        </w:rPr>
        <w:t>Table 1</w:t>
      </w:r>
    </w:p>
    <w:tbl>
      <w:tblPr>
        <w:tblStyle w:val="TableGrid"/>
        <w:tblW w:w="0" w:type="auto"/>
        <w:tblLook w:val="04A0" w:firstRow="1" w:lastRow="0" w:firstColumn="1" w:lastColumn="0" w:noHBand="0" w:noVBand="1"/>
      </w:tblPr>
      <w:tblGrid>
        <w:gridCol w:w="4621"/>
        <w:gridCol w:w="1157"/>
        <w:gridCol w:w="1157"/>
      </w:tblGrid>
      <w:tr w:rsidR="00052B2E" w:rsidRPr="00052B2E" w:rsidTr="00052B2E">
        <w:tc>
          <w:tcPr>
            <w:tcW w:w="4621" w:type="dxa"/>
            <w:shd w:val="clear" w:color="auto" w:fill="477CBF"/>
          </w:tcPr>
          <w:p w:rsidR="00EE5E26" w:rsidRPr="00052B2E" w:rsidRDefault="00EE5E26" w:rsidP="005A039C">
            <w:pPr>
              <w:rPr>
                <w:b/>
                <w:color w:val="FFFFFF" w:themeColor="background1"/>
                <w:sz w:val="22"/>
                <w:szCs w:val="22"/>
              </w:rPr>
            </w:pPr>
            <w:r w:rsidRPr="00052B2E">
              <w:rPr>
                <w:b/>
                <w:color w:val="FFFFFF" w:themeColor="background1"/>
                <w:sz w:val="22"/>
                <w:szCs w:val="22"/>
              </w:rPr>
              <w:t>Respondent Category</w:t>
            </w:r>
          </w:p>
        </w:tc>
        <w:tc>
          <w:tcPr>
            <w:tcW w:w="1157" w:type="dxa"/>
            <w:shd w:val="clear" w:color="auto" w:fill="477CBF"/>
          </w:tcPr>
          <w:p w:rsidR="00EE5E26" w:rsidRPr="00052B2E" w:rsidRDefault="00EE5E26" w:rsidP="00052B2E">
            <w:pPr>
              <w:jc w:val="center"/>
              <w:rPr>
                <w:b/>
                <w:color w:val="FFFFFF" w:themeColor="background1"/>
                <w:sz w:val="22"/>
                <w:szCs w:val="22"/>
              </w:rPr>
            </w:pPr>
            <w:r w:rsidRPr="00052B2E">
              <w:rPr>
                <w:b/>
                <w:color w:val="FFFFFF" w:themeColor="background1"/>
                <w:sz w:val="22"/>
                <w:szCs w:val="22"/>
              </w:rPr>
              <w:t>Number</w:t>
            </w:r>
          </w:p>
        </w:tc>
        <w:tc>
          <w:tcPr>
            <w:tcW w:w="1157" w:type="dxa"/>
            <w:shd w:val="clear" w:color="auto" w:fill="477CBF"/>
          </w:tcPr>
          <w:p w:rsidR="00EE5E26" w:rsidRPr="00052B2E" w:rsidRDefault="00EE5E26" w:rsidP="00052B2E">
            <w:pPr>
              <w:jc w:val="center"/>
              <w:rPr>
                <w:b/>
                <w:color w:val="FFFFFF" w:themeColor="background1"/>
                <w:sz w:val="22"/>
                <w:szCs w:val="22"/>
              </w:rPr>
            </w:pPr>
            <w:r w:rsidRPr="00052B2E">
              <w:rPr>
                <w:b/>
                <w:color w:val="FFFFFF" w:themeColor="background1"/>
                <w:sz w:val="22"/>
                <w:szCs w:val="22"/>
              </w:rPr>
              <w:t>%</w:t>
            </w:r>
          </w:p>
        </w:tc>
      </w:tr>
      <w:tr w:rsidR="00EE5E26" w:rsidTr="008D78F5">
        <w:tc>
          <w:tcPr>
            <w:tcW w:w="4621" w:type="dxa"/>
          </w:tcPr>
          <w:p w:rsidR="00EE5E26" w:rsidRPr="007F0A3D" w:rsidRDefault="00EE5E26" w:rsidP="005A039C">
            <w:pPr>
              <w:rPr>
                <w:sz w:val="22"/>
                <w:szCs w:val="22"/>
              </w:rPr>
            </w:pPr>
            <w:r w:rsidRPr="007F0A3D">
              <w:rPr>
                <w:sz w:val="22"/>
                <w:szCs w:val="22"/>
              </w:rPr>
              <w:t>Public</w:t>
            </w:r>
          </w:p>
        </w:tc>
        <w:tc>
          <w:tcPr>
            <w:tcW w:w="1157" w:type="dxa"/>
          </w:tcPr>
          <w:p w:rsidR="00EE5E26" w:rsidRDefault="00EE5E26" w:rsidP="00052B2E">
            <w:pPr>
              <w:jc w:val="center"/>
              <w:rPr>
                <w:sz w:val="22"/>
                <w:szCs w:val="22"/>
              </w:rPr>
            </w:pPr>
            <w:r>
              <w:rPr>
                <w:sz w:val="22"/>
                <w:szCs w:val="22"/>
              </w:rPr>
              <w:t>125</w:t>
            </w:r>
          </w:p>
        </w:tc>
        <w:tc>
          <w:tcPr>
            <w:tcW w:w="1157" w:type="dxa"/>
          </w:tcPr>
          <w:p w:rsidR="00EE5E26" w:rsidRDefault="001C2A5F" w:rsidP="00052B2E">
            <w:pPr>
              <w:jc w:val="center"/>
              <w:rPr>
                <w:sz w:val="22"/>
                <w:szCs w:val="22"/>
              </w:rPr>
            </w:pPr>
            <w:r>
              <w:rPr>
                <w:sz w:val="22"/>
                <w:szCs w:val="22"/>
              </w:rPr>
              <w:t>72%</w:t>
            </w:r>
          </w:p>
        </w:tc>
      </w:tr>
      <w:tr w:rsidR="00EE5E26" w:rsidTr="008D78F5">
        <w:tc>
          <w:tcPr>
            <w:tcW w:w="4621" w:type="dxa"/>
          </w:tcPr>
          <w:p w:rsidR="00EE5E26" w:rsidRPr="007F0A3D" w:rsidRDefault="00EE5E26" w:rsidP="005A039C">
            <w:pPr>
              <w:rPr>
                <w:sz w:val="22"/>
                <w:szCs w:val="22"/>
              </w:rPr>
            </w:pPr>
            <w:r w:rsidRPr="007F0A3D">
              <w:rPr>
                <w:sz w:val="22"/>
                <w:szCs w:val="22"/>
              </w:rPr>
              <w:t>Carer/Friend/Relative</w:t>
            </w:r>
          </w:p>
        </w:tc>
        <w:tc>
          <w:tcPr>
            <w:tcW w:w="1157" w:type="dxa"/>
          </w:tcPr>
          <w:p w:rsidR="00EE5E26" w:rsidRDefault="00EE5E26" w:rsidP="00052B2E">
            <w:pPr>
              <w:jc w:val="center"/>
              <w:rPr>
                <w:sz w:val="22"/>
                <w:szCs w:val="22"/>
              </w:rPr>
            </w:pPr>
            <w:r>
              <w:rPr>
                <w:sz w:val="22"/>
                <w:szCs w:val="22"/>
              </w:rPr>
              <w:t>11</w:t>
            </w:r>
          </w:p>
        </w:tc>
        <w:tc>
          <w:tcPr>
            <w:tcW w:w="1157" w:type="dxa"/>
          </w:tcPr>
          <w:p w:rsidR="00EE5E26" w:rsidRDefault="001C2A5F" w:rsidP="00052B2E">
            <w:pPr>
              <w:jc w:val="center"/>
              <w:rPr>
                <w:sz w:val="22"/>
                <w:szCs w:val="22"/>
              </w:rPr>
            </w:pPr>
            <w:r>
              <w:rPr>
                <w:sz w:val="22"/>
                <w:szCs w:val="22"/>
              </w:rPr>
              <w:t>6%</w:t>
            </w:r>
          </w:p>
        </w:tc>
      </w:tr>
      <w:tr w:rsidR="00EE5E26" w:rsidTr="008D78F5">
        <w:tc>
          <w:tcPr>
            <w:tcW w:w="4621" w:type="dxa"/>
          </w:tcPr>
          <w:p w:rsidR="00EE5E26" w:rsidRPr="007F0A3D" w:rsidRDefault="00EE5E26" w:rsidP="005A039C">
            <w:pPr>
              <w:rPr>
                <w:sz w:val="22"/>
                <w:szCs w:val="22"/>
              </w:rPr>
            </w:pPr>
            <w:r w:rsidRPr="007F0A3D">
              <w:rPr>
                <w:sz w:val="22"/>
                <w:szCs w:val="22"/>
              </w:rPr>
              <w:t>Stakeholder</w:t>
            </w:r>
          </w:p>
        </w:tc>
        <w:tc>
          <w:tcPr>
            <w:tcW w:w="1157" w:type="dxa"/>
          </w:tcPr>
          <w:p w:rsidR="00EE5E26" w:rsidRDefault="001C2A5F" w:rsidP="00052B2E">
            <w:pPr>
              <w:jc w:val="center"/>
              <w:rPr>
                <w:sz w:val="22"/>
                <w:szCs w:val="22"/>
              </w:rPr>
            </w:pPr>
            <w:r>
              <w:rPr>
                <w:sz w:val="22"/>
                <w:szCs w:val="22"/>
              </w:rPr>
              <w:t>3</w:t>
            </w:r>
            <w:r w:rsidR="00EE5E26">
              <w:rPr>
                <w:sz w:val="22"/>
                <w:szCs w:val="22"/>
              </w:rPr>
              <w:t>8</w:t>
            </w:r>
          </w:p>
        </w:tc>
        <w:tc>
          <w:tcPr>
            <w:tcW w:w="1157" w:type="dxa"/>
          </w:tcPr>
          <w:p w:rsidR="00EE5E26" w:rsidRDefault="001C2A5F" w:rsidP="00052B2E">
            <w:pPr>
              <w:jc w:val="center"/>
              <w:rPr>
                <w:sz w:val="22"/>
                <w:szCs w:val="22"/>
              </w:rPr>
            </w:pPr>
            <w:r>
              <w:rPr>
                <w:sz w:val="22"/>
                <w:szCs w:val="22"/>
              </w:rPr>
              <w:t>22%</w:t>
            </w:r>
          </w:p>
        </w:tc>
      </w:tr>
    </w:tbl>
    <w:p w:rsidR="00EE5E26" w:rsidRDefault="00EE5E26" w:rsidP="005A039C">
      <w:pPr>
        <w:rPr>
          <w:sz w:val="22"/>
          <w:szCs w:val="22"/>
        </w:rPr>
      </w:pPr>
    </w:p>
    <w:p w:rsidR="004146A9" w:rsidRDefault="004146A9" w:rsidP="005A039C">
      <w:pPr>
        <w:rPr>
          <w:sz w:val="22"/>
          <w:szCs w:val="22"/>
        </w:rPr>
      </w:pPr>
    </w:p>
    <w:p w:rsidR="00CF39C1" w:rsidRPr="00A42495" w:rsidRDefault="00CF39C1" w:rsidP="00CF39C1">
      <w:pPr>
        <w:rPr>
          <w:sz w:val="22"/>
          <w:szCs w:val="22"/>
        </w:rPr>
      </w:pPr>
      <w:r w:rsidRPr="00A42495">
        <w:rPr>
          <w:sz w:val="22"/>
          <w:szCs w:val="22"/>
        </w:rPr>
        <w:lastRenderedPageBreak/>
        <w:t xml:space="preserve">For the purposes of analysis, respondents have been grouped into two categories; Public/carers/friends/relatives </w:t>
      </w:r>
      <w:r>
        <w:rPr>
          <w:sz w:val="22"/>
          <w:szCs w:val="22"/>
        </w:rPr>
        <w:t xml:space="preserve">(Public) </w:t>
      </w:r>
      <w:r w:rsidRPr="00A42495">
        <w:rPr>
          <w:sz w:val="22"/>
          <w:szCs w:val="22"/>
        </w:rPr>
        <w:t xml:space="preserve">and Stakeholders. Some questions were asked </w:t>
      </w:r>
      <w:r>
        <w:rPr>
          <w:sz w:val="22"/>
          <w:szCs w:val="22"/>
        </w:rPr>
        <w:t xml:space="preserve">to </w:t>
      </w:r>
      <w:r w:rsidRPr="00A42495">
        <w:rPr>
          <w:sz w:val="22"/>
          <w:szCs w:val="22"/>
        </w:rPr>
        <w:t xml:space="preserve">only one category </w:t>
      </w:r>
      <w:r>
        <w:rPr>
          <w:sz w:val="22"/>
          <w:szCs w:val="22"/>
        </w:rPr>
        <w:t>while others were asked to both</w:t>
      </w:r>
      <w:r w:rsidRPr="00A42495">
        <w:rPr>
          <w:sz w:val="22"/>
          <w:szCs w:val="22"/>
        </w:rPr>
        <w:t>. The term ‘all respondents’ refers to both categories.</w:t>
      </w:r>
    </w:p>
    <w:p w:rsidR="001C2A5F" w:rsidRPr="001C2A5F" w:rsidRDefault="00137349" w:rsidP="005A039C">
      <w:pPr>
        <w:rPr>
          <w:b/>
          <w:sz w:val="22"/>
          <w:szCs w:val="22"/>
        </w:rPr>
      </w:pPr>
      <w:r>
        <w:rPr>
          <w:b/>
          <w:sz w:val="22"/>
          <w:szCs w:val="22"/>
        </w:rPr>
        <w:t xml:space="preserve">Questions </w:t>
      </w:r>
      <w:r w:rsidR="00537305">
        <w:rPr>
          <w:b/>
          <w:sz w:val="22"/>
          <w:szCs w:val="22"/>
        </w:rPr>
        <w:t xml:space="preserve">2 </w:t>
      </w:r>
      <w:r>
        <w:rPr>
          <w:b/>
          <w:sz w:val="22"/>
          <w:szCs w:val="22"/>
        </w:rPr>
        <w:t xml:space="preserve">to 6 were </w:t>
      </w:r>
      <w:r w:rsidR="001C2A5F" w:rsidRPr="001C2A5F">
        <w:rPr>
          <w:b/>
          <w:sz w:val="22"/>
          <w:szCs w:val="22"/>
        </w:rPr>
        <w:t>asked only to the public/carers/friends/relatives</w:t>
      </w:r>
    </w:p>
    <w:p w:rsidR="008F59D9" w:rsidRDefault="008F59D9" w:rsidP="005A039C">
      <w:pPr>
        <w:rPr>
          <w:b/>
          <w:sz w:val="22"/>
          <w:szCs w:val="22"/>
        </w:rPr>
      </w:pPr>
      <w:r w:rsidRPr="008F59D9">
        <w:rPr>
          <w:b/>
          <w:sz w:val="22"/>
          <w:szCs w:val="22"/>
        </w:rPr>
        <w:t xml:space="preserve">Q.2 </w:t>
      </w:r>
      <w:r>
        <w:rPr>
          <w:b/>
          <w:sz w:val="22"/>
          <w:szCs w:val="22"/>
        </w:rPr>
        <w:t>– The age of respondents</w:t>
      </w:r>
    </w:p>
    <w:p w:rsidR="00EE5E26" w:rsidRDefault="0016710E" w:rsidP="005A039C">
      <w:pPr>
        <w:rPr>
          <w:sz w:val="22"/>
          <w:szCs w:val="22"/>
        </w:rPr>
      </w:pPr>
      <w:r>
        <w:rPr>
          <w:sz w:val="22"/>
          <w:szCs w:val="22"/>
        </w:rPr>
        <w:t xml:space="preserve">Just over ninety percent of </w:t>
      </w:r>
      <w:r w:rsidR="001C2A5F">
        <w:rPr>
          <w:sz w:val="22"/>
          <w:szCs w:val="22"/>
        </w:rPr>
        <w:t xml:space="preserve">the </w:t>
      </w:r>
      <w:r>
        <w:rPr>
          <w:sz w:val="22"/>
          <w:szCs w:val="22"/>
        </w:rPr>
        <w:t xml:space="preserve">respondents </w:t>
      </w:r>
      <w:r w:rsidR="001C2A5F">
        <w:rPr>
          <w:sz w:val="22"/>
          <w:szCs w:val="22"/>
        </w:rPr>
        <w:t xml:space="preserve">in the </w:t>
      </w:r>
      <w:r w:rsidR="008F59D9">
        <w:rPr>
          <w:sz w:val="22"/>
          <w:szCs w:val="22"/>
        </w:rPr>
        <w:t xml:space="preserve">public/carers/friends/relatives category </w:t>
      </w:r>
      <w:r>
        <w:rPr>
          <w:sz w:val="22"/>
          <w:szCs w:val="22"/>
        </w:rPr>
        <w:t>were over the age of 50.</w:t>
      </w:r>
    </w:p>
    <w:p w:rsidR="008F59D9" w:rsidRPr="008F59D9" w:rsidRDefault="008F59D9" w:rsidP="005A039C">
      <w:pPr>
        <w:rPr>
          <w:b/>
          <w:sz w:val="22"/>
          <w:szCs w:val="22"/>
        </w:rPr>
      </w:pPr>
      <w:r w:rsidRPr="008F59D9">
        <w:rPr>
          <w:b/>
          <w:sz w:val="22"/>
          <w:szCs w:val="22"/>
        </w:rPr>
        <w:t>Table 2</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16710E" w:rsidTr="00052B2E">
        <w:tc>
          <w:tcPr>
            <w:tcW w:w="1320" w:type="dxa"/>
            <w:shd w:val="clear" w:color="auto" w:fill="477CBF"/>
          </w:tcPr>
          <w:p w:rsidR="0016710E" w:rsidRPr="00052B2E" w:rsidRDefault="0016710E" w:rsidP="00052B2E">
            <w:pPr>
              <w:jc w:val="center"/>
              <w:rPr>
                <w:b/>
                <w:color w:val="FFFFFF" w:themeColor="background1"/>
                <w:sz w:val="22"/>
                <w:szCs w:val="22"/>
              </w:rPr>
            </w:pPr>
            <w:r w:rsidRPr="00052B2E">
              <w:rPr>
                <w:b/>
                <w:color w:val="FFFFFF" w:themeColor="background1"/>
                <w:sz w:val="22"/>
                <w:szCs w:val="22"/>
              </w:rPr>
              <w:t>18-29</w:t>
            </w:r>
          </w:p>
        </w:tc>
        <w:tc>
          <w:tcPr>
            <w:tcW w:w="1320" w:type="dxa"/>
            <w:shd w:val="clear" w:color="auto" w:fill="477CBF"/>
          </w:tcPr>
          <w:p w:rsidR="0016710E" w:rsidRPr="00052B2E" w:rsidRDefault="0016710E" w:rsidP="00052B2E">
            <w:pPr>
              <w:jc w:val="center"/>
              <w:rPr>
                <w:b/>
                <w:color w:val="FFFFFF" w:themeColor="background1"/>
                <w:sz w:val="22"/>
                <w:szCs w:val="22"/>
              </w:rPr>
            </w:pPr>
            <w:r w:rsidRPr="00052B2E">
              <w:rPr>
                <w:b/>
                <w:color w:val="FFFFFF" w:themeColor="background1"/>
                <w:sz w:val="22"/>
                <w:szCs w:val="22"/>
              </w:rPr>
              <w:t>30-39</w:t>
            </w:r>
          </w:p>
        </w:tc>
        <w:tc>
          <w:tcPr>
            <w:tcW w:w="1320" w:type="dxa"/>
            <w:shd w:val="clear" w:color="auto" w:fill="477CBF"/>
          </w:tcPr>
          <w:p w:rsidR="0016710E" w:rsidRPr="00052B2E" w:rsidRDefault="0016710E" w:rsidP="00052B2E">
            <w:pPr>
              <w:jc w:val="center"/>
              <w:rPr>
                <w:b/>
                <w:color w:val="FFFFFF" w:themeColor="background1"/>
                <w:sz w:val="22"/>
                <w:szCs w:val="22"/>
              </w:rPr>
            </w:pPr>
            <w:r w:rsidRPr="00052B2E">
              <w:rPr>
                <w:b/>
                <w:color w:val="FFFFFF" w:themeColor="background1"/>
                <w:sz w:val="22"/>
                <w:szCs w:val="22"/>
              </w:rPr>
              <w:t>40-49</w:t>
            </w:r>
          </w:p>
        </w:tc>
        <w:tc>
          <w:tcPr>
            <w:tcW w:w="1320" w:type="dxa"/>
            <w:shd w:val="clear" w:color="auto" w:fill="477CBF"/>
          </w:tcPr>
          <w:p w:rsidR="0016710E" w:rsidRPr="00052B2E" w:rsidRDefault="0016710E" w:rsidP="00052B2E">
            <w:pPr>
              <w:jc w:val="center"/>
              <w:rPr>
                <w:b/>
                <w:color w:val="FFFFFF" w:themeColor="background1"/>
                <w:sz w:val="22"/>
                <w:szCs w:val="22"/>
              </w:rPr>
            </w:pPr>
            <w:r w:rsidRPr="00052B2E">
              <w:rPr>
                <w:b/>
                <w:color w:val="FFFFFF" w:themeColor="background1"/>
                <w:sz w:val="22"/>
                <w:szCs w:val="22"/>
              </w:rPr>
              <w:t>50-59</w:t>
            </w:r>
          </w:p>
        </w:tc>
        <w:tc>
          <w:tcPr>
            <w:tcW w:w="1320" w:type="dxa"/>
            <w:shd w:val="clear" w:color="auto" w:fill="477CBF"/>
          </w:tcPr>
          <w:p w:rsidR="0016710E" w:rsidRPr="00052B2E" w:rsidRDefault="0016710E" w:rsidP="00052B2E">
            <w:pPr>
              <w:jc w:val="center"/>
              <w:rPr>
                <w:b/>
                <w:color w:val="FFFFFF" w:themeColor="background1"/>
                <w:sz w:val="22"/>
                <w:szCs w:val="22"/>
              </w:rPr>
            </w:pPr>
            <w:r w:rsidRPr="00052B2E">
              <w:rPr>
                <w:b/>
                <w:color w:val="FFFFFF" w:themeColor="background1"/>
                <w:sz w:val="22"/>
                <w:szCs w:val="22"/>
              </w:rPr>
              <w:t>60-69</w:t>
            </w:r>
          </w:p>
        </w:tc>
        <w:tc>
          <w:tcPr>
            <w:tcW w:w="1321" w:type="dxa"/>
            <w:shd w:val="clear" w:color="auto" w:fill="477CBF"/>
          </w:tcPr>
          <w:p w:rsidR="0016710E" w:rsidRPr="00052B2E" w:rsidRDefault="0016710E" w:rsidP="00052B2E">
            <w:pPr>
              <w:jc w:val="center"/>
              <w:rPr>
                <w:b/>
                <w:color w:val="FFFFFF" w:themeColor="background1"/>
                <w:sz w:val="22"/>
                <w:szCs w:val="22"/>
              </w:rPr>
            </w:pPr>
            <w:r w:rsidRPr="00052B2E">
              <w:rPr>
                <w:b/>
                <w:color w:val="FFFFFF" w:themeColor="background1"/>
                <w:sz w:val="22"/>
                <w:szCs w:val="22"/>
              </w:rPr>
              <w:t>70-79</w:t>
            </w:r>
          </w:p>
        </w:tc>
        <w:tc>
          <w:tcPr>
            <w:tcW w:w="1321" w:type="dxa"/>
            <w:shd w:val="clear" w:color="auto" w:fill="477CBF"/>
          </w:tcPr>
          <w:p w:rsidR="0016710E" w:rsidRPr="00052B2E" w:rsidRDefault="0016710E" w:rsidP="00052B2E">
            <w:pPr>
              <w:jc w:val="center"/>
              <w:rPr>
                <w:b/>
                <w:color w:val="FFFFFF" w:themeColor="background1"/>
                <w:sz w:val="22"/>
                <w:szCs w:val="22"/>
              </w:rPr>
            </w:pPr>
            <w:r w:rsidRPr="00052B2E">
              <w:rPr>
                <w:b/>
                <w:color w:val="FFFFFF" w:themeColor="background1"/>
                <w:sz w:val="22"/>
                <w:szCs w:val="22"/>
              </w:rPr>
              <w:t>80+</w:t>
            </w:r>
          </w:p>
        </w:tc>
      </w:tr>
      <w:tr w:rsidR="0016710E" w:rsidTr="0016710E">
        <w:tc>
          <w:tcPr>
            <w:tcW w:w="1320" w:type="dxa"/>
          </w:tcPr>
          <w:p w:rsidR="0016710E" w:rsidRDefault="0016710E" w:rsidP="00C84B3A">
            <w:pPr>
              <w:jc w:val="center"/>
              <w:rPr>
                <w:sz w:val="22"/>
                <w:szCs w:val="22"/>
              </w:rPr>
            </w:pPr>
            <w:r>
              <w:rPr>
                <w:sz w:val="22"/>
                <w:szCs w:val="22"/>
              </w:rPr>
              <w:t>1</w:t>
            </w:r>
          </w:p>
        </w:tc>
        <w:tc>
          <w:tcPr>
            <w:tcW w:w="1320" w:type="dxa"/>
          </w:tcPr>
          <w:p w:rsidR="0016710E" w:rsidRDefault="0016710E" w:rsidP="00C84B3A">
            <w:pPr>
              <w:jc w:val="center"/>
              <w:rPr>
                <w:sz w:val="22"/>
                <w:szCs w:val="22"/>
              </w:rPr>
            </w:pPr>
            <w:r>
              <w:rPr>
                <w:sz w:val="22"/>
                <w:szCs w:val="22"/>
              </w:rPr>
              <w:t>1</w:t>
            </w:r>
          </w:p>
        </w:tc>
        <w:tc>
          <w:tcPr>
            <w:tcW w:w="1320" w:type="dxa"/>
          </w:tcPr>
          <w:p w:rsidR="0016710E" w:rsidRDefault="0016710E" w:rsidP="00C84B3A">
            <w:pPr>
              <w:jc w:val="center"/>
              <w:rPr>
                <w:sz w:val="22"/>
                <w:szCs w:val="22"/>
              </w:rPr>
            </w:pPr>
            <w:r>
              <w:rPr>
                <w:sz w:val="22"/>
                <w:szCs w:val="22"/>
              </w:rPr>
              <w:t>7</w:t>
            </w:r>
          </w:p>
        </w:tc>
        <w:tc>
          <w:tcPr>
            <w:tcW w:w="1320" w:type="dxa"/>
          </w:tcPr>
          <w:p w:rsidR="0016710E" w:rsidRDefault="0016710E" w:rsidP="00C84B3A">
            <w:pPr>
              <w:jc w:val="center"/>
              <w:rPr>
                <w:sz w:val="22"/>
                <w:szCs w:val="22"/>
              </w:rPr>
            </w:pPr>
            <w:r>
              <w:rPr>
                <w:sz w:val="22"/>
                <w:szCs w:val="22"/>
              </w:rPr>
              <w:t>51</w:t>
            </w:r>
          </w:p>
        </w:tc>
        <w:tc>
          <w:tcPr>
            <w:tcW w:w="1320" w:type="dxa"/>
          </w:tcPr>
          <w:p w:rsidR="0016710E" w:rsidRDefault="0016710E" w:rsidP="00C84B3A">
            <w:pPr>
              <w:jc w:val="center"/>
              <w:rPr>
                <w:sz w:val="22"/>
                <w:szCs w:val="22"/>
              </w:rPr>
            </w:pPr>
            <w:r>
              <w:rPr>
                <w:sz w:val="22"/>
                <w:szCs w:val="22"/>
              </w:rPr>
              <w:t>42</w:t>
            </w:r>
          </w:p>
        </w:tc>
        <w:tc>
          <w:tcPr>
            <w:tcW w:w="1321" w:type="dxa"/>
          </w:tcPr>
          <w:p w:rsidR="0016710E" w:rsidRDefault="0016710E" w:rsidP="00C84B3A">
            <w:pPr>
              <w:jc w:val="center"/>
              <w:rPr>
                <w:sz w:val="22"/>
                <w:szCs w:val="22"/>
              </w:rPr>
            </w:pPr>
            <w:r>
              <w:rPr>
                <w:sz w:val="22"/>
                <w:szCs w:val="22"/>
              </w:rPr>
              <w:t>24</w:t>
            </w:r>
          </w:p>
        </w:tc>
        <w:tc>
          <w:tcPr>
            <w:tcW w:w="1321" w:type="dxa"/>
          </w:tcPr>
          <w:p w:rsidR="0016710E" w:rsidRDefault="0016710E" w:rsidP="00C84B3A">
            <w:pPr>
              <w:jc w:val="center"/>
              <w:rPr>
                <w:sz w:val="22"/>
                <w:szCs w:val="22"/>
              </w:rPr>
            </w:pPr>
            <w:r>
              <w:rPr>
                <w:sz w:val="22"/>
                <w:szCs w:val="22"/>
              </w:rPr>
              <w:t>9</w:t>
            </w:r>
          </w:p>
        </w:tc>
      </w:tr>
      <w:tr w:rsidR="0016710E" w:rsidTr="0016710E">
        <w:tc>
          <w:tcPr>
            <w:tcW w:w="1320" w:type="dxa"/>
          </w:tcPr>
          <w:p w:rsidR="0016710E" w:rsidRDefault="0016710E" w:rsidP="00C84B3A">
            <w:pPr>
              <w:jc w:val="center"/>
              <w:rPr>
                <w:sz w:val="22"/>
                <w:szCs w:val="22"/>
              </w:rPr>
            </w:pPr>
            <w:r>
              <w:rPr>
                <w:sz w:val="22"/>
                <w:szCs w:val="22"/>
              </w:rPr>
              <w:t>0.7%</w:t>
            </w:r>
          </w:p>
        </w:tc>
        <w:tc>
          <w:tcPr>
            <w:tcW w:w="1320" w:type="dxa"/>
          </w:tcPr>
          <w:p w:rsidR="0016710E" w:rsidRDefault="0016710E" w:rsidP="00C84B3A">
            <w:pPr>
              <w:jc w:val="center"/>
              <w:rPr>
                <w:sz w:val="22"/>
                <w:szCs w:val="22"/>
              </w:rPr>
            </w:pPr>
            <w:r>
              <w:rPr>
                <w:sz w:val="22"/>
                <w:szCs w:val="22"/>
              </w:rPr>
              <w:t>0.7%</w:t>
            </w:r>
          </w:p>
        </w:tc>
        <w:tc>
          <w:tcPr>
            <w:tcW w:w="1320" w:type="dxa"/>
          </w:tcPr>
          <w:p w:rsidR="0016710E" w:rsidRDefault="001C2A5F" w:rsidP="00C84B3A">
            <w:pPr>
              <w:jc w:val="center"/>
              <w:rPr>
                <w:sz w:val="22"/>
                <w:szCs w:val="22"/>
              </w:rPr>
            </w:pPr>
            <w:r>
              <w:rPr>
                <w:sz w:val="22"/>
                <w:szCs w:val="22"/>
              </w:rPr>
              <w:t>5</w:t>
            </w:r>
            <w:r w:rsidR="0016710E">
              <w:rPr>
                <w:sz w:val="22"/>
                <w:szCs w:val="22"/>
              </w:rPr>
              <w:t>%</w:t>
            </w:r>
          </w:p>
        </w:tc>
        <w:tc>
          <w:tcPr>
            <w:tcW w:w="1320" w:type="dxa"/>
          </w:tcPr>
          <w:p w:rsidR="0016710E" w:rsidRDefault="0016710E" w:rsidP="00C84B3A">
            <w:pPr>
              <w:jc w:val="center"/>
              <w:rPr>
                <w:sz w:val="22"/>
                <w:szCs w:val="22"/>
              </w:rPr>
            </w:pPr>
            <w:r>
              <w:rPr>
                <w:sz w:val="22"/>
                <w:szCs w:val="22"/>
              </w:rPr>
              <w:t>38%</w:t>
            </w:r>
          </w:p>
        </w:tc>
        <w:tc>
          <w:tcPr>
            <w:tcW w:w="1320" w:type="dxa"/>
          </w:tcPr>
          <w:p w:rsidR="0016710E" w:rsidRDefault="0016710E" w:rsidP="00C84B3A">
            <w:pPr>
              <w:jc w:val="center"/>
              <w:rPr>
                <w:sz w:val="22"/>
                <w:szCs w:val="22"/>
              </w:rPr>
            </w:pPr>
            <w:r>
              <w:rPr>
                <w:sz w:val="22"/>
                <w:szCs w:val="22"/>
              </w:rPr>
              <w:t>18%</w:t>
            </w:r>
          </w:p>
        </w:tc>
        <w:tc>
          <w:tcPr>
            <w:tcW w:w="1321" w:type="dxa"/>
          </w:tcPr>
          <w:p w:rsidR="0016710E" w:rsidRDefault="0016710E" w:rsidP="00C84B3A">
            <w:pPr>
              <w:jc w:val="center"/>
              <w:rPr>
                <w:sz w:val="22"/>
                <w:szCs w:val="22"/>
              </w:rPr>
            </w:pPr>
            <w:r>
              <w:rPr>
                <w:sz w:val="22"/>
                <w:szCs w:val="22"/>
              </w:rPr>
              <w:t>18%</w:t>
            </w:r>
          </w:p>
        </w:tc>
        <w:tc>
          <w:tcPr>
            <w:tcW w:w="1321" w:type="dxa"/>
          </w:tcPr>
          <w:p w:rsidR="0016710E" w:rsidRDefault="0016710E" w:rsidP="00C84B3A">
            <w:pPr>
              <w:jc w:val="center"/>
              <w:rPr>
                <w:sz w:val="22"/>
                <w:szCs w:val="22"/>
              </w:rPr>
            </w:pPr>
            <w:r>
              <w:rPr>
                <w:sz w:val="22"/>
                <w:szCs w:val="22"/>
              </w:rPr>
              <w:t>7%</w:t>
            </w:r>
          </w:p>
        </w:tc>
      </w:tr>
    </w:tbl>
    <w:p w:rsidR="0016710E" w:rsidRPr="00EE5E26" w:rsidRDefault="0016710E" w:rsidP="005A039C">
      <w:pPr>
        <w:rPr>
          <w:sz w:val="22"/>
          <w:szCs w:val="22"/>
        </w:rPr>
      </w:pPr>
    </w:p>
    <w:p w:rsidR="008F59D9" w:rsidRDefault="008F59D9" w:rsidP="008F59D9">
      <w:pPr>
        <w:rPr>
          <w:b/>
          <w:sz w:val="22"/>
          <w:szCs w:val="22"/>
        </w:rPr>
      </w:pPr>
      <w:r>
        <w:rPr>
          <w:b/>
          <w:sz w:val="22"/>
          <w:szCs w:val="22"/>
        </w:rPr>
        <w:t>Q3. Where respondents live</w:t>
      </w:r>
    </w:p>
    <w:p w:rsidR="008F59D9" w:rsidRDefault="008F59D9" w:rsidP="005A039C">
      <w:pPr>
        <w:rPr>
          <w:sz w:val="22"/>
          <w:szCs w:val="22"/>
        </w:rPr>
      </w:pPr>
      <w:r>
        <w:rPr>
          <w:sz w:val="22"/>
          <w:szCs w:val="22"/>
        </w:rPr>
        <w:t xml:space="preserve">Respondents were asked </w:t>
      </w:r>
      <w:r w:rsidR="008534D5">
        <w:rPr>
          <w:sz w:val="22"/>
          <w:szCs w:val="22"/>
        </w:rPr>
        <w:t xml:space="preserve">in </w:t>
      </w:r>
      <w:r>
        <w:rPr>
          <w:sz w:val="22"/>
          <w:szCs w:val="22"/>
        </w:rPr>
        <w:t>which district/borough they lived</w:t>
      </w:r>
      <w:r w:rsidR="00D61F9F">
        <w:rPr>
          <w:sz w:val="22"/>
          <w:szCs w:val="22"/>
        </w:rPr>
        <w:t>. The table below indicates the distribution of respondents around the county.</w:t>
      </w:r>
    </w:p>
    <w:p w:rsidR="00D61F9F" w:rsidRPr="00D61F9F" w:rsidRDefault="00D61F9F" w:rsidP="005A039C">
      <w:pPr>
        <w:rPr>
          <w:b/>
          <w:sz w:val="22"/>
          <w:szCs w:val="22"/>
        </w:rPr>
      </w:pPr>
      <w:r w:rsidRPr="00D61F9F">
        <w:rPr>
          <w:b/>
          <w:sz w:val="22"/>
          <w:szCs w:val="22"/>
        </w:rPr>
        <w:t>Table 3</w:t>
      </w:r>
    </w:p>
    <w:tbl>
      <w:tblPr>
        <w:tblStyle w:val="TableGrid"/>
        <w:tblW w:w="0" w:type="auto"/>
        <w:tblLook w:val="04A0" w:firstRow="1" w:lastRow="0" w:firstColumn="1" w:lastColumn="0" w:noHBand="0" w:noVBand="1"/>
      </w:tblPr>
      <w:tblGrid>
        <w:gridCol w:w="2790"/>
        <w:gridCol w:w="1854"/>
        <w:gridCol w:w="1560"/>
      </w:tblGrid>
      <w:tr w:rsidR="00052B2E" w:rsidRPr="00052B2E" w:rsidTr="00052B2E">
        <w:tc>
          <w:tcPr>
            <w:tcW w:w="2790" w:type="dxa"/>
            <w:shd w:val="clear" w:color="auto" w:fill="477CBF"/>
          </w:tcPr>
          <w:p w:rsidR="00D61F9F" w:rsidRPr="00052B2E" w:rsidRDefault="00D61F9F" w:rsidP="00A42495">
            <w:pPr>
              <w:rPr>
                <w:b/>
                <w:color w:val="FFFFFF" w:themeColor="background1"/>
                <w:sz w:val="22"/>
                <w:szCs w:val="22"/>
              </w:rPr>
            </w:pPr>
            <w:r w:rsidRPr="00052B2E">
              <w:rPr>
                <w:b/>
                <w:color w:val="FFFFFF" w:themeColor="background1"/>
                <w:sz w:val="22"/>
                <w:szCs w:val="22"/>
              </w:rPr>
              <w:t>District/Borough</w:t>
            </w:r>
          </w:p>
        </w:tc>
        <w:tc>
          <w:tcPr>
            <w:tcW w:w="1854" w:type="dxa"/>
            <w:shd w:val="clear" w:color="auto" w:fill="477CBF"/>
          </w:tcPr>
          <w:p w:rsidR="00D61F9F" w:rsidRPr="00052B2E" w:rsidRDefault="00D61F9F" w:rsidP="00A42495">
            <w:pPr>
              <w:jc w:val="center"/>
              <w:rPr>
                <w:b/>
                <w:color w:val="FFFFFF" w:themeColor="background1"/>
                <w:sz w:val="22"/>
                <w:szCs w:val="22"/>
              </w:rPr>
            </w:pPr>
            <w:r w:rsidRPr="00052B2E">
              <w:rPr>
                <w:b/>
                <w:color w:val="FFFFFF" w:themeColor="background1"/>
                <w:sz w:val="22"/>
                <w:szCs w:val="22"/>
              </w:rPr>
              <w:t>No.</w:t>
            </w:r>
          </w:p>
        </w:tc>
        <w:tc>
          <w:tcPr>
            <w:tcW w:w="1560" w:type="dxa"/>
            <w:shd w:val="clear" w:color="auto" w:fill="477CBF"/>
          </w:tcPr>
          <w:p w:rsidR="00D61F9F" w:rsidRPr="00052B2E" w:rsidRDefault="00D61F9F" w:rsidP="00A42495">
            <w:pPr>
              <w:jc w:val="center"/>
              <w:rPr>
                <w:b/>
                <w:color w:val="FFFFFF" w:themeColor="background1"/>
                <w:sz w:val="22"/>
                <w:szCs w:val="22"/>
              </w:rPr>
            </w:pPr>
            <w:r w:rsidRPr="00052B2E">
              <w:rPr>
                <w:b/>
                <w:color w:val="FFFFFF" w:themeColor="background1"/>
                <w:sz w:val="22"/>
                <w:szCs w:val="22"/>
              </w:rPr>
              <w:t>%</w:t>
            </w:r>
          </w:p>
        </w:tc>
      </w:tr>
      <w:tr w:rsidR="00D61F9F" w:rsidTr="00D61F9F">
        <w:tc>
          <w:tcPr>
            <w:tcW w:w="2790" w:type="dxa"/>
          </w:tcPr>
          <w:p w:rsidR="00D61F9F" w:rsidRDefault="00D61F9F" w:rsidP="008534D5">
            <w:pPr>
              <w:rPr>
                <w:sz w:val="22"/>
                <w:szCs w:val="22"/>
              </w:rPr>
            </w:pPr>
            <w:r>
              <w:rPr>
                <w:sz w:val="22"/>
                <w:szCs w:val="22"/>
              </w:rPr>
              <w:t xml:space="preserve">North Warwickshire </w:t>
            </w:r>
            <w:r w:rsidR="008534D5">
              <w:rPr>
                <w:sz w:val="22"/>
                <w:szCs w:val="22"/>
              </w:rPr>
              <w:t>B</w:t>
            </w:r>
            <w:r>
              <w:rPr>
                <w:sz w:val="22"/>
                <w:szCs w:val="22"/>
              </w:rPr>
              <w:t>orough</w:t>
            </w:r>
          </w:p>
        </w:tc>
        <w:tc>
          <w:tcPr>
            <w:tcW w:w="1854" w:type="dxa"/>
          </w:tcPr>
          <w:p w:rsidR="00D61F9F" w:rsidRDefault="00D61F9F" w:rsidP="00A42495">
            <w:pPr>
              <w:jc w:val="center"/>
              <w:rPr>
                <w:sz w:val="22"/>
                <w:szCs w:val="22"/>
              </w:rPr>
            </w:pPr>
            <w:r>
              <w:rPr>
                <w:sz w:val="22"/>
                <w:szCs w:val="22"/>
              </w:rPr>
              <w:t>2</w:t>
            </w:r>
          </w:p>
        </w:tc>
        <w:tc>
          <w:tcPr>
            <w:tcW w:w="1560" w:type="dxa"/>
          </w:tcPr>
          <w:p w:rsidR="00D61F9F" w:rsidRDefault="00D61F9F" w:rsidP="00A42495">
            <w:pPr>
              <w:jc w:val="center"/>
              <w:rPr>
                <w:sz w:val="22"/>
                <w:szCs w:val="22"/>
              </w:rPr>
            </w:pPr>
            <w:r>
              <w:rPr>
                <w:sz w:val="22"/>
                <w:szCs w:val="22"/>
              </w:rPr>
              <w:t>1%</w:t>
            </w:r>
          </w:p>
        </w:tc>
      </w:tr>
      <w:tr w:rsidR="00D61F9F" w:rsidTr="00D61F9F">
        <w:tc>
          <w:tcPr>
            <w:tcW w:w="2790" w:type="dxa"/>
          </w:tcPr>
          <w:p w:rsidR="00D61F9F" w:rsidRDefault="00D61F9F" w:rsidP="008534D5">
            <w:pPr>
              <w:rPr>
                <w:sz w:val="22"/>
                <w:szCs w:val="22"/>
              </w:rPr>
            </w:pPr>
            <w:r>
              <w:rPr>
                <w:sz w:val="22"/>
                <w:szCs w:val="22"/>
              </w:rPr>
              <w:t xml:space="preserve">Nuneaton &amp; Bedworth </w:t>
            </w:r>
            <w:r w:rsidR="008534D5">
              <w:rPr>
                <w:sz w:val="22"/>
                <w:szCs w:val="22"/>
              </w:rPr>
              <w:t>B</w:t>
            </w:r>
            <w:r>
              <w:rPr>
                <w:sz w:val="22"/>
                <w:szCs w:val="22"/>
              </w:rPr>
              <w:t>orough</w:t>
            </w:r>
          </w:p>
        </w:tc>
        <w:tc>
          <w:tcPr>
            <w:tcW w:w="1854" w:type="dxa"/>
          </w:tcPr>
          <w:p w:rsidR="00D61F9F" w:rsidRDefault="00D61F9F" w:rsidP="00A42495">
            <w:pPr>
              <w:jc w:val="center"/>
              <w:rPr>
                <w:sz w:val="22"/>
                <w:szCs w:val="22"/>
              </w:rPr>
            </w:pPr>
            <w:r>
              <w:rPr>
                <w:sz w:val="22"/>
                <w:szCs w:val="22"/>
              </w:rPr>
              <w:t>21</w:t>
            </w:r>
          </w:p>
        </w:tc>
        <w:tc>
          <w:tcPr>
            <w:tcW w:w="1560" w:type="dxa"/>
          </w:tcPr>
          <w:p w:rsidR="00D61F9F" w:rsidRDefault="00D61F9F" w:rsidP="00A42495">
            <w:pPr>
              <w:jc w:val="center"/>
              <w:rPr>
                <w:sz w:val="22"/>
                <w:szCs w:val="22"/>
              </w:rPr>
            </w:pPr>
            <w:r>
              <w:rPr>
                <w:sz w:val="22"/>
                <w:szCs w:val="22"/>
              </w:rPr>
              <w:t>16%</w:t>
            </w:r>
          </w:p>
        </w:tc>
      </w:tr>
      <w:tr w:rsidR="00D61F9F" w:rsidTr="00D61F9F">
        <w:tc>
          <w:tcPr>
            <w:tcW w:w="2790" w:type="dxa"/>
          </w:tcPr>
          <w:p w:rsidR="00D61F9F" w:rsidRDefault="00D61F9F" w:rsidP="008534D5">
            <w:pPr>
              <w:rPr>
                <w:sz w:val="22"/>
                <w:szCs w:val="22"/>
              </w:rPr>
            </w:pPr>
            <w:r>
              <w:rPr>
                <w:sz w:val="22"/>
                <w:szCs w:val="22"/>
              </w:rPr>
              <w:t xml:space="preserve">Rugby </w:t>
            </w:r>
            <w:r w:rsidR="008534D5">
              <w:rPr>
                <w:sz w:val="22"/>
                <w:szCs w:val="22"/>
              </w:rPr>
              <w:t>B</w:t>
            </w:r>
            <w:r>
              <w:rPr>
                <w:sz w:val="22"/>
                <w:szCs w:val="22"/>
              </w:rPr>
              <w:t>orough</w:t>
            </w:r>
          </w:p>
        </w:tc>
        <w:tc>
          <w:tcPr>
            <w:tcW w:w="1854" w:type="dxa"/>
          </w:tcPr>
          <w:p w:rsidR="00D61F9F" w:rsidRDefault="00D61F9F" w:rsidP="00A42495">
            <w:pPr>
              <w:jc w:val="center"/>
              <w:rPr>
                <w:sz w:val="22"/>
                <w:szCs w:val="22"/>
              </w:rPr>
            </w:pPr>
            <w:r>
              <w:rPr>
                <w:sz w:val="22"/>
                <w:szCs w:val="22"/>
              </w:rPr>
              <w:t>13</w:t>
            </w:r>
          </w:p>
        </w:tc>
        <w:tc>
          <w:tcPr>
            <w:tcW w:w="1560" w:type="dxa"/>
          </w:tcPr>
          <w:p w:rsidR="00D61F9F" w:rsidRDefault="00D61F9F" w:rsidP="00A42495">
            <w:pPr>
              <w:jc w:val="center"/>
              <w:rPr>
                <w:sz w:val="22"/>
                <w:szCs w:val="22"/>
              </w:rPr>
            </w:pPr>
            <w:r>
              <w:rPr>
                <w:sz w:val="22"/>
                <w:szCs w:val="22"/>
              </w:rPr>
              <w:t>10%</w:t>
            </w:r>
          </w:p>
        </w:tc>
      </w:tr>
      <w:tr w:rsidR="00D61F9F" w:rsidTr="00D61F9F">
        <w:tc>
          <w:tcPr>
            <w:tcW w:w="2790" w:type="dxa"/>
          </w:tcPr>
          <w:p w:rsidR="00D61F9F" w:rsidRDefault="00D61F9F" w:rsidP="008534D5">
            <w:pPr>
              <w:rPr>
                <w:sz w:val="22"/>
                <w:szCs w:val="22"/>
              </w:rPr>
            </w:pPr>
            <w:r>
              <w:rPr>
                <w:sz w:val="22"/>
                <w:szCs w:val="22"/>
              </w:rPr>
              <w:t xml:space="preserve">Stratford on Avon </w:t>
            </w:r>
            <w:r w:rsidR="008534D5">
              <w:rPr>
                <w:sz w:val="22"/>
                <w:szCs w:val="22"/>
              </w:rPr>
              <w:t>D</w:t>
            </w:r>
            <w:r>
              <w:rPr>
                <w:sz w:val="22"/>
                <w:szCs w:val="22"/>
              </w:rPr>
              <w:t>istrict</w:t>
            </w:r>
          </w:p>
        </w:tc>
        <w:tc>
          <w:tcPr>
            <w:tcW w:w="1854" w:type="dxa"/>
          </w:tcPr>
          <w:p w:rsidR="00D61F9F" w:rsidRDefault="00D61F9F" w:rsidP="00A42495">
            <w:pPr>
              <w:jc w:val="center"/>
              <w:rPr>
                <w:sz w:val="22"/>
                <w:szCs w:val="22"/>
              </w:rPr>
            </w:pPr>
            <w:r>
              <w:rPr>
                <w:sz w:val="22"/>
                <w:szCs w:val="22"/>
              </w:rPr>
              <w:t>52</w:t>
            </w:r>
          </w:p>
        </w:tc>
        <w:tc>
          <w:tcPr>
            <w:tcW w:w="1560" w:type="dxa"/>
          </w:tcPr>
          <w:p w:rsidR="00D61F9F" w:rsidRDefault="00D61F9F" w:rsidP="00A42495">
            <w:pPr>
              <w:jc w:val="center"/>
              <w:rPr>
                <w:sz w:val="22"/>
                <w:szCs w:val="22"/>
              </w:rPr>
            </w:pPr>
            <w:r>
              <w:rPr>
                <w:sz w:val="22"/>
                <w:szCs w:val="22"/>
              </w:rPr>
              <w:t>39%</w:t>
            </w:r>
          </w:p>
        </w:tc>
      </w:tr>
      <w:tr w:rsidR="00D61F9F" w:rsidTr="00D61F9F">
        <w:tc>
          <w:tcPr>
            <w:tcW w:w="2790" w:type="dxa"/>
          </w:tcPr>
          <w:p w:rsidR="00D61F9F" w:rsidRDefault="008534D5" w:rsidP="00A42495">
            <w:pPr>
              <w:rPr>
                <w:sz w:val="22"/>
                <w:szCs w:val="22"/>
              </w:rPr>
            </w:pPr>
            <w:r>
              <w:rPr>
                <w:sz w:val="22"/>
                <w:szCs w:val="22"/>
              </w:rPr>
              <w:t>Warwick D</w:t>
            </w:r>
            <w:r w:rsidR="00D61F9F">
              <w:rPr>
                <w:sz w:val="22"/>
                <w:szCs w:val="22"/>
              </w:rPr>
              <w:t>istrict</w:t>
            </w:r>
          </w:p>
        </w:tc>
        <w:tc>
          <w:tcPr>
            <w:tcW w:w="1854" w:type="dxa"/>
          </w:tcPr>
          <w:p w:rsidR="00D61F9F" w:rsidRDefault="00D61F9F" w:rsidP="00A42495">
            <w:pPr>
              <w:jc w:val="center"/>
              <w:rPr>
                <w:sz w:val="22"/>
                <w:szCs w:val="22"/>
              </w:rPr>
            </w:pPr>
            <w:r>
              <w:rPr>
                <w:sz w:val="22"/>
                <w:szCs w:val="22"/>
              </w:rPr>
              <w:t>46</w:t>
            </w:r>
          </w:p>
        </w:tc>
        <w:tc>
          <w:tcPr>
            <w:tcW w:w="1560" w:type="dxa"/>
          </w:tcPr>
          <w:p w:rsidR="00D61F9F" w:rsidRDefault="00D61F9F" w:rsidP="00A42495">
            <w:pPr>
              <w:jc w:val="center"/>
              <w:rPr>
                <w:sz w:val="22"/>
                <w:szCs w:val="22"/>
              </w:rPr>
            </w:pPr>
            <w:r>
              <w:rPr>
                <w:sz w:val="22"/>
                <w:szCs w:val="22"/>
              </w:rPr>
              <w:t>34%</w:t>
            </w:r>
          </w:p>
        </w:tc>
      </w:tr>
      <w:tr w:rsidR="00D61F9F" w:rsidTr="00D61F9F">
        <w:tc>
          <w:tcPr>
            <w:tcW w:w="2790" w:type="dxa"/>
          </w:tcPr>
          <w:p w:rsidR="00D61F9F" w:rsidRDefault="00D61F9F" w:rsidP="00A42495">
            <w:pPr>
              <w:rPr>
                <w:sz w:val="22"/>
                <w:szCs w:val="22"/>
              </w:rPr>
            </w:pPr>
            <w:r>
              <w:rPr>
                <w:sz w:val="22"/>
                <w:szCs w:val="22"/>
              </w:rPr>
              <w:t>Out of county</w:t>
            </w:r>
          </w:p>
        </w:tc>
        <w:tc>
          <w:tcPr>
            <w:tcW w:w="1854" w:type="dxa"/>
          </w:tcPr>
          <w:p w:rsidR="00D61F9F" w:rsidRDefault="00D61F9F" w:rsidP="00A42495">
            <w:pPr>
              <w:jc w:val="center"/>
              <w:rPr>
                <w:sz w:val="22"/>
                <w:szCs w:val="22"/>
              </w:rPr>
            </w:pPr>
            <w:r>
              <w:rPr>
                <w:sz w:val="22"/>
                <w:szCs w:val="22"/>
              </w:rPr>
              <w:t>1</w:t>
            </w:r>
          </w:p>
        </w:tc>
        <w:tc>
          <w:tcPr>
            <w:tcW w:w="1560" w:type="dxa"/>
          </w:tcPr>
          <w:p w:rsidR="00D61F9F" w:rsidRDefault="00D61F9F" w:rsidP="00A42495">
            <w:pPr>
              <w:jc w:val="center"/>
              <w:rPr>
                <w:sz w:val="22"/>
                <w:szCs w:val="22"/>
              </w:rPr>
            </w:pPr>
            <w:r>
              <w:rPr>
                <w:sz w:val="22"/>
                <w:szCs w:val="22"/>
              </w:rPr>
              <w:t>1%</w:t>
            </w:r>
          </w:p>
        </w:tc>
      </w:tr>
    </w:tbl>
    <w:p w:rsidR="008F59D9" w:rsidRPr="008F59D9" w:rsidRDefault="008F59D9" w:rsidP="005A039C">
      <w:pPr>
        <w:rPr>
          <w:sz w:val="22"/>
          <w:szCs w:val="22"/>
        </w:rPr>
      </w:pPr>
    </w:p>
    <w:p w:rsidR="0016710E" w:rsidRDefault="00A42495" w:rsidP="005A039C">
      <w:pPr>
        <w:rPr>
          <w:b/>
          <w:sz w:val="22"/>
          <w:szCs w:val="22"/>
        </w:rPr>
      </w:pPr>
      <w:r>
        <w:rPr>
          <w:b/>
          <w:sz w:val="22"/>
          <w:szCs w:val="22"/>
        </w:rPr>
        <w:t xml:space="preserve">Q.4a and Q.4b </w:t>
      </w:r>
      <w:r w:rsidR="0016710E">
        <w:rPr>
          <w:b/>
          <w:sz w:val="22"/>
          <w:szCs w:val="22"/>
        </w:rPr>
        <w:t xml:space="preserve">Personal </w:t>
      </w:r>
      <w:r>
        <w:rPr>
          <w:b/>
          <w:sz w:val="22"/>
          <w:szCs w:val="22"/>
        </w:rPr>
        <w:t>e</w:t>
      </w:r>
      <w:r w:rsidR="0016710E" w:rsidRPr="0016710E">
        <w:rPr>
          <w:b/>
          <w:sz w:val="22"/>
          <w:szCs w:val="22"/>
        </w:rPr>
        <w:t xml:space="preserve">xperience of </w:t>
      </w:r>
      <w:r>
        <w:rPr>
          <w:b/>
          <w:sz w:val="22"/>
          <w:szCs w:val="22"/>
        </w:rPr>
        <w:t>f</w:t>
      </w:r>
      <w:r w:rsidR="0016710E" w:rsidRPr="0016710E">
        <w:rPr>
          <w:b/>
          <w:sz w:val="22"/>
          <w:szCs w:val="22"/>
        </w:rPr>
        <w:t>alls</w:t>
      </w:r>
      <w:r>
        <w:rPr>
          <w:b/>
          <w:sz w:val="22"/>
          <w:szCs w:val="22"/>
        </w:rPr>
        <w:t xml:space="preserve"> and use of existing specialist falls service</w:t>
      </w:r>
    </w:p>
    <w:p w:rsidR="0016710E" w:rsidRPr="001B5B14" w:rsidRDefault="001B5B14" w:rsidP="005A039C">
      <w:pPr>
        <w:rPr>
          <w:sz w:val="22"/>
          <w:szCs w:val="22"/>
        </w:rPr>
      </w:pPr>
      <w:r>
        <w:rPr>
          <w:sz w:val="22"/>
          <w:szCs w:val="22"/>
        </w:rPr>
        <w:t>Thirty seven percent of respondents (50) had experienced a fall. Of these, five had subsequently accessed a special falls prevention service.</w:t>
      </w:r>
    </w:p>
    <w:p w:rsidR="0016710E" w:rsidRDefault="00A42495" w:rsidP="005A039C">
      <w:pPr>
        <w:rPr>
          <w:b/>
          <w:sz w:val="22"/>
          <w:szCs w:val="22"/>
        </w:rPr>
      </w:pPr>
      <w:r>
        <w:rPr>
          <w:b/>
          <w:sz w:val="22"/>
          <w:szCs w:val="22"/>
        </w:rPr>
        <w:t xml:space="preserve">Q.5a </w:t>
      </w:r>
      <w:r w:rsidR="001B5B14">
        <w:rPr>
          <w:b/>
          <w:sz w:val="22"/>
          <w:szCs w:val="22"/>
        </w:rPr>
        <w:t>Potential use of service by those aged over 50 years and at risk of a fall</w:t>
      </w:r>
    </w:p>
    <w:p w:rsidR="001B5B14" w:rsidRDefault="0067129D" w:rsidP="005A039C">
      <w:pPr>
        <w:rPr>
          <w:sz w:val="22"/>
          <w:szCs w:val="22"/>
        </w:rPr>
      </w:pPr>
      <w:r>
        <w:rPr>
          <w:sz w:val="22"/>
          <w:szCs w:val="22"/>
        </w:rPr>
        <w:t>Respondents were asked if they would use the service if they were over 50 and at risk of a fall.</w:t>
      </w:r>
      <w:r w:rsidR="00137349">
        <w:rPr>
          <w:sz w:val="22"/>
          <w:szCs w:val="22"/>
        </w:rPr>
        <w:t xml:space="preserve"> The following table records</w:t>
      </w:r>
      <w:r w:rsidR="008534D5">
        <w:rPr>
          <w:sz w:val="22"/>
          <w:szCs w:val="22"/>
        </w:rPr>
        <w:t xml:space="preserve"> the responses to this question:</w:t>
      </w:r>
    </w:p>
    <w:p w:rsidR="008534D5" w:rsidRDefault="008534D5" w:rsidP="005A039C">
      <w:pPr>
        <w:rPr>
          <w:sz w:val="22"/>
          <w:szCs w:val="22"/>
        </w:rPr>
      </w:pPr>
    </w:p>
    <w:p w:rsidR="008534D5" w:rsidRDefault="008534D5" w:rsidP="005A039C">
      <w:pPr>
        <w:rPr>
          <w:sz w:val="22"/>
          <w:szCs w:val="22"/>
        </w:rPr>
      </w:pPr>
    </w:p>
    <w:p w:rsidR="008534D5" w:rsidRDefault="008534D5" w:rsidP="005A039C">
      <w:pPr>
        <w:rPr>
          <w:sz w:val="22"/>
          <w:szCs w:val="22"/>
        </w:rPr>
      </w:pPr>
    </w:p>
    <w:p w:rsidR="008534D5" w:rsidRDefault="008534D5" w:rsidP="005A039C">
      <w:pPr>
        <w:rPr>
          <w:sz w:val="22"/>
          <w:szCs w:val="22"/>
        </w:rPr>
      </w:pPr>
    </w:p>
    <w:p w:rsidR="00A42495" w:rsidRPr="00A42495" w:rsidRDefault="00A42495" w:rsidP="005A039C">
      <w:pPr>
        <w:rPr>
          <w:b/>
          <w:sz w:val="22"/>
          <w:szCs w:val="22"/>
        </w:rPr>
      </w:pPr>
      <w:r w:rsidRPr="00A42495">
        <w:rPr>
          <w:b/>
          <w:sz w:val="22"/>
          <w:szCs w:val="22"/>
        </w:rPr>
        <w:lastRenderedPageBreak/>
        <w:t>Table 4</w:t>
      </w:r>
    </w:p>
    <w:tbl>
      <w:tblPr>
        <w:tblStyle w:val="TableGrid"/>
        <w:tblW w:w="0" w:type="auto"/>
        <w:tblLook w:val="04A0" w:firstRow="1" w:lastRow="0" w:firstColumn="1" w:lastColumn="0" w:noHBand="0" w:noVBand="1"/>
      </w:tblPr>
      <w:tblGrid>
        <w:gridCol w:w="4644"/>
        <w:gridCol w:w="1134"/>
        <w:gridCol w:w="1134"/>
      </w:tblGrid>
      <w:tr w:rsidR="00052B2E" w:rsidRPr="00052B2E" w:rsidTr="00052B2E">
        <w:tc>
          <w:tcPr>
            <w:tcW w:w="4644" w:type="dxa"/>
            <w:shd w:val="clear" w:color="auto" w:fill="477CBF"/>
          </w:tcPr>
          <w:p w:rsidR="0067129D" w:rsidRPr="00052B2E" w:rsidRDefault="0042076E" w:rsidP="005A039C">
            <w:pPr>
              <w:rPr>
                <w:b/>
                <w:color w:val="FFFFFF" w:themeColor="background1"/>
                <w:sz w:val="20"/>
                <w:szCs w:val="20"/>
              </w:rPr>
            </w:pPr>
            <w:r w:rsidRPr="00052B2E">
              <w:rPr>
                <w:b/>
                <w:color w:val="FFFFFF" w:themeColor="background1"/>
                <w:sz w:val="20"/>
                <w:szCs w:val="20"/>
              </w:rPr>
              <w:t xml:space="preserve">If you are aged 50 and over and were told by a professional that you were at a greater risk of a first fall, would you use the proposed Move! Improve! </w:t>
            </w:r>
            <w:r w:rsidR="00AB7F98" w:rsidRPr="00052B2E">
              <w:rPr>
                <w:b/>
                <w:color w:val="FFFFFF" w:themeColor="background1"/>
                <w:sz w:val="20"/>
                <w:szCs w:val="20"/>
              </w:rPr>
              <w:t>Service</w:t>
            </w:r>
            <w:r w:rsidRPr="00052B2E">
              <w:rPr>
                <w:b/>
                <w:color w:val="FFFFFF" w:themeColor="background1"/>
                <w:sz w:val="20"/>
                <w:szCs w:val="20"/>
              </w:rPr>
              <w:t>?</w:t>
            </w:r>
          </w:p>
        </w:tc>
        <w:tc>
          <w:tcPr>
            <w:tcW w:w="1134" w:type="dxa"/>
            <w:shd w:val="clear" w:color="auto" w:fill="477CBF"/>
          </w:tcPr>
          <w:p w:rsidR="0067129D" w:rsidRPr="00052B2E" w:rsidRDefault="0067129D" w:rsidP="00A42495">
            <w:pPr>
              <w:jc w:val="center"/>
              <w:rPr>
                <w:b/>
                <w:color w:val="FFFFFF" w:themeColor="background1"/>
                <w:sz w:val="22"/>
                <w:szCs w:val="22"/>
              </w:rPr>
            </w:pPr>
            <w:r w:rsidRPr="00052B2E">
              <w:rPr>
                <w:b/>
                <w:color w:val="FFFFFF" w:themeColor="background1"/>
                <w:sz w:val="22"/>
                <w:szCs w:val="22"/>
              </w:rPr>
              <w:t>Number</w:t>
            </w:r>
          </w:p>
        </w:tc>
        <w:tc>
          <w:tcPr>
            <w:tcW w:w="1134" w:type="dxa"/>
            <w:shd w:val="clear" w:color="auto" w:fill="477CBF"/>
          </w:tcPr>
          <w:p w:rsidR="0067129D" w:rsidRPr="00052B2E" w:rsidRDefault="0067129D" w:rsidP="00A42495">
            <w:pPr>
              <w:jc w:val="center"/>
              <w:rPr>
                <w:b/>
                <w:color w:val="FFFFFF" w:themeColor="background1"/>
                <w:sz w:val="22"/>
                <w:szCs w:val="22"/>
              </w:rPr>
            </w:pPr>
            <w:r w:rsidRPr="00052B2E">
              <w:rPr>
                <w:b/>
                <w:color w:val="FFFFFF" w:themeColor="background1"/>
                <w:sz w:val="22"/>
                <w:szCs w:val="22"/>
              </w:rPr>
              <w:t>%</w:t>
            </w:r>
          </w:p>
        </w:tc>
      </w:tr>
      <w:tr w:rsidR="0067129D" w:rsidTr="0067129D">
        <w:tc>
          <w:tcPr>
            <w:tcW w:w="4644" w:type="dxa"/>
          </w:tcPr>
          <w:p w:rsidR="0067129D" w:rsidRDefault="0067129D" w:rsidP="005A039C">
            <w:pPr>
              <w:rPr>
                <w:sz w:val="22"/>
                <w:szCs w:val="22"/>
              </w:rPr>
            </w:pPr>
            <w:r>
              <w:rPr>
                <w:sz w:val="22"/>
                <w:szCs w:val="22"/>
              </w:rPr>
              <w:t>Yes</w:t>
            </w:r>
          </w:p>
        </w:tc>
        <w:tc>
          <w:tcPr>
            <w:tcW w:w="1134" w:type="dxa"/>
          </w:tcPr>
          <w:p w:rsidR="0067129D" w:rsidRDefault="0067129D" w:rsidP="00A42495">
            <w:pPr>
              <w:jc w:val="center"/>
              <w:rPr>
                <w:sz w:val="22"/>
                <w:szCs w:val="22"/>
              </w:rPr>
            </w:pPr>
            <w:r>
              <w:rPr>
                <w:sz w:val="22"/>
                <w:szCs w:val="22"/>
              </w:rPr>
              <w:t>61</w:t>
            </w:r>
          </w:p>
        </w:tc>
        <w:tc>
          <w:tcPr>
            <w:tcW w:w="1134" w:type="dxa"/>
          </w:tcPr>
          <w:p w:rsidR="0067129D" w:rsidRDefault="0067129D" w:rsidP="00A42495">
            <w:pPr>
              <w:jc w:val="center"/>
              <w:rPr>
                <w:sz w:val="22"/>
                <w:szCs w:val="22"/>
              </w:rPr>
            </w:pPr>
            <w:r>
              <w:rPr>
                <w:sz w:val="22"/>
                <w:szCs w:val="22"/>
              </w:rPr>
              <w:t>46%</w:t>
            </w:r>
          </w:p>
        </w:tc>
      </w:tr>
      <w:tr w:rsidR="0067129D" w:rsidTr="0067129D">
        <w:tc>
          <w:tcPr>
            <w:tcW w:w="4644" w:type="dxa"/>
          </w:tcPr>
          <w:p w:rsidR="0067129D" w:rsidRDefault="0067129D" w:rsidP="005A039C">
            <w:pPr>
              <w:rPr>
                <w:sz w:val="22"/>
                <w:szCs w:val="22"/>
              </w:rPr>
            </w:pPr>
            <w:r>
              <w:rPr>
                <w:sz w:val="22"/>
                <w:szCs w:val="22"/>
              </w:rPr>
              <w:t>No</w:t>
            </w:r>
          </w:p>
        </w:tc>
        <w:tc>
          <w:tcPr>
            <w:tcW w:w="1134" w:type="dxa"/>
          </w:tcPr>
          <w:p w:rsidR="0067129D" w:rsidRDefault="0067129D" w:rsidP="00A42495">
            <w:pPr>
              <w:jc w:val="center"/>
              <w:rPr>
                <w:sz w:val="22"/>
                <w:szCs w:val="22"/>
              </w:rPr>
            </w:pPr>
            <w:r>
              <w:rPr>
                <w:sz w:val="22"/>
                <w:szCs w:val="22"/>
              </w:rPr>
              <w:t>8</w:t>
            </w:r>
          </w:p>
        </w:tc>
        <w:tc>
          <w:tcPr>
            <w:tcW w:w="1134" w:type="dxa"/>
          </w:tcPr>
          <w:p w:rsidR="0067129D" w:rsidRDefault="0067129D" w:rsidP="00A42495">
            <w:pPr>
              <w:jc w:val="center"/>
              <w:rPr>
                <w:sz w:val="22"/>
                <w:szCs w:val="22"/>
              </w:rPr>
            </w:pPr>
            <w:r>
              <w:rPr>
                <w:sz w:val="22"/>
                <w:szCs w:val="22"/>
              </w:rPr>
              <w:t>6%</w:t>
            </w:r>
          </w:p>
        </w:tc>
      </w:tr>
      <w:tr w:rsidR="0067129D" w:rsidTr="0067129D">
        <w:tc>
          <w:tcPr>
            <w:tcW w:w="4644" w:type="dxa"/>
          </w:tcPr>
          <w:p w:rsidR="0067129D" w:rsidRDefault="0067129D" w:rsidP="005A039C">
            <w:pPr>
              <w:rPr>
                <w:sz w:val="22"/>
                <w:szCs w:val="22"/>
              </w:rPr>
            </w:pPr>
            <w:r>
              <w:rPr>
                <w:sz w:val="22"/>
                <w:szCs w:val="22"/>
              </w:rPr>
              <w:t>Not Sure</w:t>
            </w:r>
          </w:p>
        </w:tc>
        <w:tc>
          <w:tcPr>
            <w:tcW w:w="1134" w:type="dxa"/>
          </w:tcPr>
          <w:p w:rsidR="0067129D" w:rsidRDefault="0067129D" w:rsidP="00A42495">
            <w:pPr>
              <w:jc w:val="center"/>
              <w:rPr>
                <w:sz w:val="22"/>
                <w:szCs w:val="22"/>
              </w:rPr>
            </w:pPr>
            <w:r>
              <w:rPr>
                <w:sz w:val="22"/>
                <w:szCs w:val="22"/>
              </w:rPr>
              <w:t>57</w:t>
            </w:r>
          </w:p>
        </w:tc>
        <w:tc>
          <w:tcPr>
            <w:tcW w:w="1134" w:type="dxa"/>
          </w:tcPr>
          <w:p w:rsidR="0067129D" w:rsidRDefault="0067129D" w:rsidP="00A42495">
            <w:pPr>
              <w:jc w:val="center"/>
              <w:rPr>
                <w:sz w:val="22"/>
                <w:szCs w:val="22"/>
              </w:rPr>
            </w:pPr>
            <w:r>
              <w:rPr>
                <w:sz w:val="22"/>
                <w:szCs w:val="22"/>
              </w:rPr>
              <w:t>43</w:t>
            </w:r>
            <w:r w:rsidR="001C2A5F">
              <w:rPr>
                <w:sz w:val="22"/>
                <w:szCs w:val="22"/>
              </w:rPr>
              <w:t>%</w:t>
            </w:r>
          </w:p>
        </w:tc>
      </w:tr>
      <w:tr w:rsidR="0067129D" w:rsidTr="0067129D">
        <w:tc>
          <w:tcPr>
            <w:tcW w:w="4644" w:type="dxa"/>
          </w:tcPr>
          <w:p w:rsidR="0067129D" w:rsidRDefault="0067129D" w:rsidP="005A039C">
            <w:pPr>
              <w:rPr>
                <w:sz w:val="22"/>
                <w:szCs w:val="22"/>
              </w:rPr>
            </w:pPr>
            <w:r>
              <w:rPr>
                <w:sz w:val="22"/>
                <w:szCs w:val="22"/>
              </w:rPr>
              <w:t>Not Applicable</w:t>
            </w:r>
          </w:p>
        </w:tc>
        <w:tc>
          <w:tcPr>
            <w:tcW w:w="1134" w:type="dxa"/>
          </w:tcPr>
          <w:p w:rsidR="0067129D" w:rsidRDefault="0067129D" w:rsidP="00A42495">
            <w:pPr>
              <w:jc w:val="center"/>
              <w:rPr>
                <w:sz w:val="22"/>
                <w:szCs w:val="22"/>
              </w:rPr>
            </w:pPr>
            <w:r>
              <w:rPr>
                <w:sz w:val="22"/>
                <w:szCs w:val="22"/>
              </w:rPr>
              <w:t>6</w:t>
            </w:r>
          </w:p>
        </w:tc>
        <w:tc>
          <w:tcPr>
            <w:tcW w:w="1134" w:type="dxa"/>
          </w:tcPr>
          <w:p w:rsidR="0067129D" w:rsidRDefault="0067129D" w:rsidP="00A42495">
            <w:pPr>
              <w:jc w:val="center"/>
              <w:rPr>
                <w:sz w:val="22"/>
                <w:szCs w:val="22"/>
              </w:rPr>
            </w:pPr>
            <w:r>
              <w:rPr>
                <w:sz w:val="22"/>
                <w:szCs w:val="22"/>
              </w:rPr>
              <w:t>5%</w:t>
            </w:r>
          </w:p>
        </w:tc>
      </w:tr>
    </w:tbl>
    <w:p w:rsidR="0067129D" w:rsidRDefault="0067129D" w:rsidP="005A039C">
      <w:pPr>
        <w:rPr>
          <w:sz w:val="22"/>
          <w:szCs w:val="22"/>
        </w:rPr>
      </w:pPr>
    </w:p>
    <w:p w:rsidR="00A42495" w:rsidRDefault="00A42495" w:rsidP="005A039C">
      <w:pPr>
        <w:rPr>
          <w:sz w:val="22"/>
          <w:szCs w:val="22"/>
        </w:rPr>
      </w:pPr>
      <w:r w:rsidRPr="00A42495">
        <w:rPr>
          <w:b/>
          <w:sz w:val="22"/>
          <w:szCs w:val="22"/>
        </w:rPr>
        <w:t>Q.5b</w:t>
      </w:r>
      <w:r>
        <w:rPr>
          <w:sz w:val="22"/>
          <w:szCs w:val="22"/>
        </w:rPr>
        <w:t xml:space="preserve"> </w:t>
      </w:r>
      <w:r w:rsidRPr="00A42495">
        <w:rPr>
          <w:b/>
          <w:sz w:val="22"/>
          <w:szCs w:val="22"/>
        </w:rPr>
        <w:t>Reasons for answers in Q.5a</w:t>
      </w:r>
    </w:p>
    <w:p w:rsidR="007B7B7C" w:rsidRDefault="003C7DCD" w:rsidP="005A039C">
      <w:pPr>
        <w:rPr>
          <w:sz w:val="22"/>
          <w:szCs w:val="22"/>
        </w:rPr>
      </w:pPr>
      <w:r>
        <w:rPr>
          <w:sz w:val="22"/>
          <w:szCs w:val="22"/>
        </w:rPr>
        <w:t>Respondents were then asked for some of the reasons for their answers above. The following table records the key themes a</w:t>
      </w:r>
      <w:r w:rsidR="008534D5">
        <w:rPr>
          <w:sz w:val="22"/>
          <w:szCs w:val="22"/>
        </w:rPr>
        <w:t>ssociated with each answer type:</w:t>
      </w:r>
    </w:p>
    <w:p w:rsidR="00A42495" w:rsidRPr="00A42495" w:rsidRDefault="00A42495" w:rsidP="005A039C">
      <w:pPr>
        <w:rPr>
          <w:b/>
          <w:sz w:val="22"/>
          <w:szCs w:val="22"/>
        </w:rPr>
      </w:pPr>
      <w:r w:rsidRPr="00A42495">
        <w:rPr>
          <w:b/>
          <w:sz w:val="22"/>
          <w:szCs w:val="22"/>
        </w:rPr>
        <w:t>Table 5</w:t>
      </w:r>
    </w:p>
    <w:tbl>
      <w:tblPr>
        <w:tblStyle w:val="TableGrid"/>
        <w:tblW w:w="0" w:type="auto"/>
        <w:tblLook w:val="04A0" w:firstRow="1" w:lastRow="0" w:firstColumn="1" w:lastColumn="0" w:noHBand="0" w:noVBand="1"/>
      </w:tblPr>
      <w:tblGrid>
        <w:gridCol w:w="3080"/>
        <w:gridCol w:w="5959"/>
      </w:tblGrid>
      <w:tr w:rsidR="00052B2E" w:rsidRPr="00052B2E" w:rsidTr="00052B2E">
        <w:tc>
          <w:tcPr>
            <w:tcW w:w="3080" w:type="dxa"/>
            <w:shd w:val="clear" w:color="auto" w:fill="477CBF"/>
          </w:tcPr>
          <w:p w:rsidR="00F37139" w:rsidRPr="00052B2E" w:rsidRDefault="00F37139" w:rsidP="005A039C">
            <w:pPr>
              <w:rPr>
                <w:color w:val="FFFFFF" w:themeColor="background1"/>
                <w:sz w:val="22"/>
                <w:szCs w:val="22"/>
              </w:rPr>
            </w:pPr>
            <w:r w:rsidRPr="00052B2E">
              <w:rPr>
                <w:b/>
                <w:color w:val="FFFFFF" w:themeColor="background1"/>
                <w:sz w:val="20"/>
                <w:szCs w:val="20"/>
              </w:rPr>
              <w:t xml:space="preserve">If you are aged 50 and over and were told by a professional that you were at a greater risk of a first fall, would you use the proposed Move! Improve! </w:t>
            </w:r>
            <w:r w:rsidR="00AB7F98" w:rsidRPr="00052B2E">
              <w:rPr>
                <w:b/>
                <w:color w:val="FFFFFF" w:themeColor="background1"/>
                <w:sz w:val="20"/>
                <w:szCs w:val="20"/>
              </w:rPr>
              <w:t>Service</w:t>
            </w:r>
            <w:r w:rsidRPr="00052B2E">
              <w:rPr>
                <w:b/>
                <w:color w:val="FFFFFF" w:themeColor="background1"/>
                <w:sz w:val="20"/>
                <w:szCs w:val="20"/>
              </w:rPr>
              <w:t>?</w:t>
            </w:r>
          </w:p>
        </w:tc>
        <w:tc>
          <w:tcPr>
            <w:tcW w:w="5959" w:type="dxa"/>
            <w:shd w:val="clear" w:color="auto" w:fill="477CBF"/>
          </w:tcPr>
          <w:p w:rsidR="00F37139" w:rsidRPr="00052B2E" w:rsidRDefault="00F37139" w:rsidP="005A039C">
            <w:pPr>
              <w:rPr>
                <w:b/>
                <w:color w:val="FFFFFF" w:themeColor="background1"/>
                <w:sz w:val="22"/>
                <w:szCs w:val="22"/>
              </w:rPr>
            </w:pPr>
            <w:r w:rsidRPr="00052B2E">
              <w:rPr>
                <w:b/>
                <w:color w:val="FFFFFF" w:themeColor="background1"/>
                <w:sz w:val="22"/>
                <w:szCs w:val="22"/>
              </w:rPr>
              <w:t>Open text question themes</w:t>
            </w:r>
          </w:p>
        </w:tc>
      </w:tr>
      <w:tr w:rsidR="00F37139" w:rsidTr="00F37139">
        <w:tc>
          <w:tcPr>
            <w:tcW w:w="3080" w:type="dxa"/>
          </w:tcPr>
          <w:p w:rsidR="00F37139" w:rsidRDefault="00F37139" w:rsidP="00723BBF">
            <w:pPr>
              <w:rPr>
                <w:sz w:val="22"/>
                <w:szCs w:val="22"/>
              </w:rPr>
            </w:pPr>
            <w:r>
              <w:rPr>
                <w:sz w:val="22"/>
                <w:szCs w:val="22"/>
              </w:rPr>
              <w:t>Yes</w:t>
            </w:r>
          </w:p>
        </w:tc>
        <w:tc>
          <w:tcPr>
            <w:tcW w:w="5959" w:type="dxa"/>
          </w:tcPr>
          <w:p w:rsidR="00F37139" w:rsidRDefault="00F37139" w:rsidP="00F37139">
            <w:pPr>
              <w:pStyle w:val="ListParagraph"/>
              <w:numPr>
                <w:ilvl w:val="0"/>
                <w:numId w:val="12"/>
              </w:numPr>
              <w:rPr>
                <w:sz w:val="22"/>
                <w:szCs w:val="22"/>
              </w:rPr>
            </w:pPr>
            <w:r>
              <w:rPr>
                <w:sz w:val="22"/>
                <w:szCs w:val="22"/>
              </w:rPr>
              <w:t>See the benefits of prevention</w:t>
            </w:r>
          </w:p>
          <w:p w:rsidR="00F37139" w:rsidRDefault="00F37139" w:rsidP="00F37139">
            <w:pPr>
              <w:pStyle w:val="ListParagraph"/>
              <w:numPr>
                <w:ilvl w:val="0"/>
                <w:numId w:val="12"/>
              </w:numPr>
              <w:rPr>
                <w:sz w:val="22"/>
                <w:szCs w:val="22"/>
              </w:rPr>
            </w:pPr>
            <w:r>
              <w:rPr>
                <w:sz w:val="22"/>
                <w:szCs w:val="22"/>
              </w:rPr>
              <w:t>Desire to maintain fitness and independence</w:t>
            </w:r>
          </w:p>
          <w:p w:rsidR="007B7B7C" w:rsidRPr="00F37139" w:rsidRDefault="007B7B7C" w:rsidP="00F37139">
            <w:pPr>
              <w:pStyle w:val="ListParagraph"/>
              <w:numPr>
                <w:ilvl w:val="0"/>
                <w:numId w:val="12"/>
              </w:numPr>
              <w:rPr>
                <w:sz w:val="22"/>
                <w:szCs w:val="22"/>
              </w:rPr>
            </w:pPr>
            <w:r>
              <w:rPr>
                <w:sz w:val="22"/>
                <w:szCs w:val="22"/>
              </w:rPr>
              <w:t>Aware of wider impact a fall can have on individuals and families</w:t>
            </w:r>
          </w:p>
        </w:tc>
      </w:tr>
      <w:tr w:rsidR="00F37139" w:rsidTr="00F37139">
        <w:tc>
          <w:tcPr>
            <w:tcW w:w="3080" w:type="dxa"/>
          </w:tcPr>
          <w:p w:rsidR="00F37139" w:rsidRDefault="00F37139" w:rsidP="00723BBF">
            <w:pPr>
              <w:rPr>
                <w:sz w:val="22"/>
                <w:szCs w:val="22"/>
              </w:rPr>
            </w:pPr>
            <w:r>
              <w:rPr>
                <w:sz w:val="22"/>
                <w:szCs w:val="22"/>
              </w:rPr>
              <w:t>No</w:t>
            </w:r>
          </w:p>
        </w:tc>
        <w:tc>
          <w:tcPr>
            <w:tcW w:w="5959" w:type="dxa"/>
          </w:tcPr>
          <w:p w:rsidR="00F37139" w:rsidRPr="00F37139" w:rsidRDefault="00F37139" w:rsidP="00F37139">
            <w:pPr>
              <w:pStyle w:val="ListParagraph"/>
              <w:numPr>
                <w:ilvl w:val="0"/>
                <w:numId w:val="13"/>
              </w:numPr>
              <w:rPr>
                <w:sz w:val="22"/>
                <w:szCs w:val="22"/>
              </w:rPr>
            </w:pPr>
            <w:r>
              <w:rPr>
                <w:sz w:val="22"/>
                <w:szCs w:val="22"/>
              </w:rPr>
              <w:t>Not relevant to circumstances</w:t>
            </w:r>
          </w:p>
        </w:tc>
      </w:tr>
      <w:tr w:rsidR="00F37139" w:rsidTr="00F37139">
        <w:tc>
          <w:tcPr>
            <w:tcW w:w="3080" w:type="dxa"/>
          </w:tcPr>
          <w:p w:rsidR="00F37139" w:rsidRDefault="00F37139" w:rsidP="00723BBF">
            <w:pPr>
              <w:rPr>
                <w:sz w:val="22"/>
                <w:szCs w:val="22"/>
              </w:rPr>
            </w:pPr>
            <w:r>
              <w:rPr>
                <w:sz w:val="22"/>
                <w:szCs w:val="22"/>
              </w:rPr>
              <w:t>Not Sure</w:t>
            </w:r>
          </w:p>
        </w:tc>
        <w:tc>
          <w:tcPr>
            <w:tcW w:w="5959" w:type="dxa"/>
          </w:tcPr>
          <w:p w:rsidR="00F37139" w:rsidRDefault="00F37139" w:rsidP="00F37139">
            <w:pPr>
              <w:pStyle w:val="ListParagraph"/>
              <w:numPr>
                <w:ilvl w:val="0"/>
                <w:numId w:val="13"/>
              </w:numPr>
              <w:rPr>
                <w:sz w:val="22"/>
                <w:szCs w:val="22"/>
              </w:rPr>
            </w:pPr>
            <w:r>
              <w:rPr>
                <w:sz w:val="22"/>
                <w:szCs w:val="22"/>
              </w:rPr>
              <w:t>Not enough information/detail about the proposed Move Improve service to make decision</w:t>
            </w:r>
          </w:p>
          <w:p w:rsidR="00F37139" w:rsidRDefault="00F37139" w:rsidP="00F37139">
            <w:pPr>
              <w:pStyle w:val="ListParagraph"/>
              <w:numPr>
                <w:ilvl w:val="0"/>
                <w:numId w:val="13"/>
              </w:numPr>
              <w:rPr>
                <w:sz w:val="22"/>
                <w:szCs w:val="22"/>
              </w:rPr>
            </w:pPr>
            <w:r>
              <w:rPr>
                <w:sz w:val="22"/>
                <w:szCs w:val="22"/>
              </w:rPr>
              <w:t xml:space="preserve">Saw some falls as having external cause </w:t>
            </w:r>
            <w:r w:rsidR="00AB7F98">
              <w:rPr>
                <w:sz w:val="22"/>
                <w:szCs w:val="22"/>
              </w:rPr>
              <w:t>i.e.</w:t>
            </w:r>
            <w:r>
              <w:rPr>
                <w:sz w:val="22"/>
                <w:szCs w:val="22"/>
              </w:rPr>
              <w:t xml:space="preserve"> shoes/pavements etc.</w:t>
            </w:r>
          </w:p>
          <w:p w:rsidR="00F37139" w:rsidRPr="00F37139" w:rsidRDefault="003C7DCD" w:rsidP="00F37139">
            <w:pPr>
              <w:pStyle w:val="ListParagraph"/>
              <w:numPr>
                <w:ilvl w:val="0"/>
                <w:numId w:val="13"/>
              </w:numPr>
              <w:rPr>
                <w:sz w:val="22"/>
                <w:szCs w:val="22"/>
              </w:rPr>
            </w:pPr>
            <w:r>
              <w:rPr>
                <w:sz w:val="22"/>
                <w:szCs w:val="22"/>
              </w:rPr>
              <w:t>Lower age limit of 50 years quite young</w:t>
            </w:r>
          </w:p>
        </w:tc>
      </w:tr>
      <w:tr w:rsidR="00F37139" w:rsidTr="00F37139">
        <w:tc>
          <w:tcPr>
            <w:tcW w:w="3080" w:type="dxa"/>
          </w:tcPr>
          <w:p w:rsidR="00F37139" w:rsidRDefault="00F37139" w:rsidP="00723BBF">
            <w:pPr>
              <w:rPr>
                <w:sz w:val="22"/>
                <w:szCs w:val="22"/>
              </w:rPr>
            </w:pPr>
            <w:r>
              <w:rPr>
                <w:sz w:val="22"/>
                <w:szCs w:val="22"/>
              </w:rPr>
              <w:t>Not Applicable</w:t>
            </w:r>
          </w:p>
        </w:tc>
        <w:tc>
          <w:tcPr>
            <w:tcW w:w="5959" w:type="dxa"/>
          </w:tcPr>
          <w:p w:rsidR="00F37139" w:rsidRPr="007B7B7C" w:rsidRDefault="007B7B7C" w:rsidP="007B7B7C">
            <w:pPr>
              <w:pStyle w:val="ListParagraph"/>
              <w:numPr>
                <w:ilvl w:val="0"/>
                <w:numId w:val="14"/>
              </w:numPr>
              <w:rPr>
                <w:sz w:val="22"/>
                <w:szCs w:val="22"/>
              </w:rPr>
            </w:pPr>
            <w:r>
              <w:rPr>
                <w:sz w:val="22"/>
                <w:szCs w:val="22"/>
              </w:rPr>
              <w:t>No additional comments</w:t>
            </w:r>
          </w:p>
        </w:tc>
      </w:tr>
    </w:tbl>
    <w:p w:rsidR="003C7DCD" w:rsidRDefault="003C7DCD" w:rsidP="005A039C">
      <w:pPr>
        <w:rPr>
          <w:b/>
          <w:sz w:val="22"/>
          <w:szCs w:val="22"/>
        </w:rPr>
      </w:pPr>
    </w:p>
    <w:p w:rsidR="005A039C" w:rsidRDefault="00A42495" w:rsidP="005A039C">
      <w:pPr>
        <w:rPr>
          <w:b/>
          <w:sz w:val="22"/>
          <w:szCs w:val="22"/>
        </w:rPr>
      </w:pPr>
      <w:r>
        <w:rPr>
          <w:b/>
          <w:sz w:val="22"/>
          <w:szCs w:val="22"/>
        </w:rPr>
        <w:t xml:space="preserve">Q.6 and Q.14 </w:t>
      </w:r>
      <w:r w:rsidR="00CA74C4">
        <w:rPr>
          <w:b/>
          <w:sz w:val="22"/>
          <w:szCs w:val="22"/>
        </w:rPr>
        <w:t>Learning and Development service</w:t>
      </w:r>
    </w:p>
    <w:p w:rsidR="003D3689" w:rsidRDefault="003D3689" w:rsidP="005A039C">
      <w:pPr>
        <w:rPr>
          <w:sz w:val="22"/>
          <w:szCs w:val="22"/>
        </w:rPr>
      </w:pPr>
      <w:r>
        <w:rPr>
          <w:sz w:val="22"/>
          <w:szCs w:val="22"/>
        </w:rPr>
        <w:t xml:space="preserve">Almost 60% of respondents </w:t>
      </w:r>
      <w:r w:rsidR="007622D9">
        <w:rPr>
          <w:sz w:val="22"/>
          <w:szCs w:val="22"/>
        </w:rPr>
        <w:t xml:space="preserve">in the public category </w:t>
      </w:r>
      <w:r>
        <w:rPr>
          <w:sz w:val="22"/>
          <w:szCs w:val="22"/>
        </w:rPr>
        <w:t xml:space="preserve">indicated a preference for ‘face to face’ as a way of accessing any learning and development associated with the Move Improve service. </w:t>
      </w:r>
      <w:r w:rsidR="007622D9">
        <w:rPr>
          <w:sz w:val="22"/>
          <w:szCs w:val="22"/>
        </w:rPr>
        <w:t>This was the most popular</w:t>
      </w:r>
      <w:r w:rsidR="00537305">
        <w:rPr>
          <w:sz w:val="22"/>
          <w:szCs w:val="22"/>
        </w:rPr>
        <w:t xml:space="preserve">. </w:t>
      </w:r>
      <w:r>
        <w:rPr>
          <w:sz w:val="22"/>
          <w:szCs w:val="22"/>
        </w:rPr>
        <w:t>Around a third of respondents</w:t>
      </w:r>
      <w:r w:rsidR="00234837">
        <w:rPr>
          <w:sz w:val="22"/>
          <w:szCs w:val="22"/>
        </w:rPr>
        <w:t xml:space="preserve"> in this category</w:t>
      </w:r>
      <w:r>
        <w:rPr>
          <w:sz w:val="22"/>
          <w:szCs w:val="22"/>
        </w:rPr>
        <w:t xml:space="preserve"> also indicated that online training was an acceptable option. </w:t>
      </w:r>
      <w:r w:rsidR="00FB7902">
        <w:rPr>
          <w:sz w:val="22"/>
          <w:szCs w:val="22"/>
        </w:rPr>
        <w:t>Just over 10% of respondents would not access the training for carers/friends</w:t>
      </w:r>
      <w:r w:rsidR="008534D5">
        <w:rPr>
          <w:sz w:val="22"/>
          <w:szCs w:val="22"/>
        </w:rPr>
        <w:t>/</w:t>
      </w:r>
      <w:r w:rsidR="00FB7902">
        <w:rPr>
          <w:sz w:val="22"/>
          <w:szCs w:val="22"/>
        </w:rPr>
        <w:t>relatives.</w:t>
      </w:r>
    </w:p>
    <w:p w:rsidR="00430BDA" w:rsidRDefault="00430BDA" w:rsidP="005A039C">
      <w:pPr>
        <w:rPr>
          <w:sz w:val="22"/>
          <w:szCs w:val="22"/>
        </w:rPr>
      </w:pPr>
    </w:p>
    <w:p w:rsidR="00430BDA" w:rsidRDefault="00430BDA" w:rsidP="005A039C">
      <w:pPr>
        <w:rPr>
          <w:sz w:val="22"/>
          <w:szCs w:val="22"/>
        </w:rPr>
      </w:pPr>
    </w:p>
    <w:p w:rsidR="00430BDA" w:rsidRDefault="00430BDA" w:rsidP="005A039C">
      <w:pPr>
        <w:rPr>
          <w:sz w:val="22"/>
          <w:szCs w:val="22"/>
        </w:rPr>
      </w:pPr>
    </w:p>
    <w:p w:rsidR="00430BDA" w:rsidRDefault="00430BDA" w:rsidP="005A039C">
      <w:pPr>
        <w:rPr>
          <w:sz w:val="22"/>
          <w:szCs w:val="22"/>
        </w:rPr>
      </w:pPr>
    </w:p>
    <w:p w:rsidR="007622D9" w:rsidRDefault="00700BD7" w:rsidP="005A039C">
      <w:pPr>
        <w:rPr>
          <w:sz w:val="22"/>
          <w:szCs w:val="22"/>
        </w:rPr>
      </w:pPr>
      <w:r w:rsidRPr="00700BD7">
        <w:rPr>
          <w:b/>
          <w:sz w:val="22"/>
          <w:szCs w:val="22"/>
        </w:rPr>
        <w:lastRenderedPageBreak/>
        <w:t>Figure 1.</w:t>
      </w:r>
      <w:r w:rsidR="0011556D" w:rsidRPr="00700BD7">
        <w:rPr>
          <w:b/>
          <w:sz w:val="22"/>
          <w:szCs w:val="22"/>
        </w:rPr>
        <w:t xml:space="preserve"> </w:t>
      </w:r>
      <w:r w:rsidR="007622D9">
        <w:rPr>
          <w:b/>
          <w:sz w:val="22"/>
          <w:szCs w:val="22"/>
        </w:rPr>
        <w:t>Public/Carers/friends/relatives p</w:t>
      </w:r>
      <w:r w:rsidR="0011556D" w:rsidRPr="00700BD7">
        <w:rPr>
          <w:b/>
          <w:sz w:val="22"/>
          <w:szCs w:val="22"/>
        </w:rPr>
        <w:t>referenc</w:t>
      </w:r>
      <w:r w:rsidR="007622D9">
        <w:rPr>
          <w:b/>
          <w:sz w:val="22"/>
          <w:szCs w:val="22"/>
        </w:rPr>
        <w:t xml:space="preserve">e </w:t>
      </w:r>
      <w:r w:rsidR="0011556D" w:rsidRPr="00700BD7">
        <w:rPr>
          <w:b/>
          <w:sz w:val="22"/>
          <w:szCs w:val="22"/>
        </w:rPr>
        <w:t xml:space="preserve">for accessing learning and development </w:t>
      </w:r>
    </w:p>
    <w:p w:rsidR="007622D9" w:rsidRDefault="007127F8" w:rsidP="005A039C">
      <w:pPr>
        <w:rPr>
          <w:b/>
          <w:sz w:val="22"/>
          <w:szCs w:val="22"/>
        </w:rPr>
      </w:pPr>
      <w:r>
        <w:rPr>
          <w:noProof/>
          <w:lang w:eastAsia="en-GB"/>
        </w:rPr>
        <w:drawing>
          <wp:anchor distT="0" distB="0" distL="114300" distR="114300" simplePos="0" relativeHeight="251662336" behindDoc="1" locked="0" layoutInCell="1" allowOverlap="1" wp14:anchorId="7A2CBBD5" wp14:editId="212EDF14">
            <wp:simplePos x="0" y="0"/>
            <wp:positionH relativeFrom="column">
              <wp:posOffset>0</wp:posOffset>
            </wp:positionH>
            <wp:positionV relativeFrom="paragraph">
              <wp:posOffset>22860</wp:posOffset>
            </wp:positionV>
            <wp:extent cx="4572000" cy="2743200"/>
            <wp:effectExtent l="0" t="0" r="0" b="0"/>
            <wp:wrapTight wrapText="bothSides">
              <wp:wrapPolygon edited="0">
                <wp:start x="810" y="300"/>
                <wp:lineTo x="270" y="600"/>
                <wp:lineTo x="270" y="1200"/>
                <wp:lineTo x="810" y="3000"/>
                <wp:lineTo x="270" y="3000"/>
                <wp:lineTo x="270" y="3600"/>
                <wp:lineTo x="810" y="5400"/>
                <wp:lineTo x="270" y="5400"/>
                <wp:lineTo x="270" y="6000"/>
                <wp:lineTo x="810" y="7800"/>
                <wp:lineTo x="180" y="7950"/>
                <wp:lineTo x="180" y="8250"/>
                <wp:lineTo x="810" y="10200"/>
                <wp:lineTo x="270" y="10200"/>
                <wp:lineTo x="270" y="10800"/>
                <wp:lineTo x="810" y="12600"/>
                <wp:lineTo x="270" y="12600"/>
                <wp:lineTo x="270" y="13200"/>
                <wp:lineTo x="810" y="15000"/>
                <wp:lineTo x="270" y="15000"/>
                <wp:lineTo x="270" y="15600"/>
                <wp:lineTo x="810" y="17400"/>
                <wp:lineTo x="540" y="17550"/>
                <wp:lineTo x="990" y="19200"/>
                <wp:lineTo x="10800" y="19800"/>
                <wp:lineTo x="15210" y="20700"/>
                <wp:lineTo x="17100" y="20700"/>
                <wp:lineTo x="17280" y="19950"/>
                <wp:lineTo x="16290" y="19950"/>
                <wp:lineTo x="20160" y="19350"/>
                <wp:lineTo x="19980" y="18450"/>
                <wp:lineTo x="1530" y="17400"/>
                <wp:lineTo x="1530" y="300"/>
                <wp:lineTo x="810" y="30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7622D9" w:rsidRDefault="007622D9" w:rsidP="005A039C">
      <w:pPr>
        <w:rPr>
          <w:b/>
          <w:sz w:val="22"/>
          <w:szCs w:val="22"/>
        </w:rPr>
      </w:pPr>
    </w:p>
    <w:p w:rsidR="007622D9" w:rsidRDefault="007622D9" w:rsidP="005A039C">
      <w:pPr>
        <w:rPr>
          <w:b/>
          <w:sz w:val="22"/>
          <w:szCs w:val="22"/>
        </w:rPr>
      </w:pPr>
    </w:p>
    <w:p w:rsidR="007622D9" w:rsidRDefault="007622D9" w:rsidP="005A039C">
      <w:pPr>
        <w:rPr>
          <w:b/>
          <w:sz w:val="22"/>
          <w:szCs w:val="22"/>
        </w:rPr>
      </w:pPr>
    </w:p>
    <w:p w:rsidR="007622D9" w:rsidRDefault="007622D9" w:rsidP="005A039C">
      <w:pPr>
        <w:rPr>
          <w:b/>
          <w:sz w:val="22"/>
          <w:szCs w:val="22"/>
        </w:rPr>
      </w:pPr>
    </w:p>
    <w:p w:rsidR="007622D9" w:rsidRDefault="007622D9" w:rsidP="005A039C">
      <w:pPr>
        <w:rPr>
          <w:b/>
          <w:sz w:val="22"/>
          <w:szCs w:val="22"/>
        </w:rPr>
      </w:pPr>
    </w:p>
    <w:p w:rsidR="007622D9" w:rsidRDefault="007622D9" w:rsidP="005A039C">
      <w:pPr>
        <w:rPr>
          <w:b/>
          <w:sz w:val="22"/>
          <w:szCs w:val="22"/>
        </w:rPr>
      </w:pPr>
    </w:p>
    <w:p w:rsidR="007622D9" w:rsidRDefault="007622D9" w:rsidP="005A039C">
      <w:pPr>
        <w:rPr>
          <w:b/>
          <w:sz w:val="22"/>
          <w:szCs w:val="22"/>
        </w:rPr>
      </w:pPr>
    </w:p>
    <w:p w:rsidR="007127F8" w:rsidRDefault="007127F8" w:rsidP="005A039C">
      <w:pPr>
        <w:rPr>
          <w:b/>
          <w:sz w:val="22"/>
          <w:szCs w:val="22"/>
        </w:rPr>
      </w:pPr>
    </w:p>
    <w:p w:rsidR="007127F8" w:rsidRDefault="007127F8" w:rsidP="005A039C">
      <w:pPr>
        <w:rPr>
          <w:b/>
          <w:sz w:val="22"/>
          <w:szCs w:val="22"/>
        </w:rPr>
      </w:pPr>
    </w:p>
    <w:p w:rsidR="007622D9" w:rsidRPr="007622D9" w:rsidRDefault="007622D9" w:rsidP="005A039C">
      <w:pPr>
        <w:rPr>
          <w:b/>
          <w:sz w:val="22"/>
          <w:szCs w:val="22"/>
        </w:rPr>
      </w:pPr>
      <w:r>
        <w:rPr>
          <w:b/>
          <w:sz w:val="22"/>
          <w:szCs w:val="22"/>
        </w:rPr>
        <w:t xml:space="preserve">Figure </w:t>
      </w:r>
      <w:r w:rsidR="00A42495">
        <w:rPr>
          <w:b/>
          <w:sz w:val="22"/>
          <w:szCs w:val="22"/>
        </w:rPr>
        <w:t>2</w:t>
      </w:r>
      <w:r w:rsidR="00430BDA">
        <w:rPr>
          <w:b/>
          <w:sz w:val="22"/>
          <w:szCs w:val="22"/>
        </w:rPr>
        <w:t>.</w:t>
      </w:r>
      <w:r>
        <w:rPr>
          <w:b/>
          <w:sz w:val="22"/>
          <w:szCs w:val="22"/>
        </w:rPr>
        <w:t xml:space="preserve"> Stakeholder preference for accessing learning and development</w:t>
      </w:r>
    </w:p>
    <w:p w:rsidR="00CA74C4" w:rsidRPr="00CA74C4" w:rsidRDefault="007127F8" w:rsidP="005A039C">
      <w:pPr>
        <w:rPr>
          <w:sz w:val="22"/>
          <w:szCs w:val="22"/>
        </w:rPr>
      </w:pPr>
      <w:r>
        <w:rPr>
          <w:noProof/>
          <w:lang w:eastAsia="en-GB"/>
        </w:rPr>
        <w:drawing>
          <wp:anchor distT="0" distB="0" distL="114300" distR="114300" simplePos="0" relativeHeight="251663360" behindDoc="1" locked="0" layoutInCell="1" allowOverlap="1" wp14:anchorId="41D043C2" wp14:editId="6DC44E7A">
            <wp:simplePos x="0" y="0"/>
            <wp:positionH relativeFrom="column">
              <wp:posOffset>-59055</wp:posOffset>
            </wp:positionH>
            <wp:positionV relativeFrom="paragraph">
              <wp:posOffset>93345</wp:posOffset>
            </wp:positionV>
            <wp:extent cx="4572000" cy="2743200"/>
            <wp:effectExtent l="0" t="0" r="0" b="0"/>
            <wp:wrapTight wrapText="bothSides">
              <wp:wrapPolygon edited="0">
                <wp:start x="810" y="300"/>
                <wp:lineTo x="270" y="600"/>
                <wp:lineTo x="270" y="1200"/>
                <wp:lineTo x="810" y="3000"/>
                <wp:lineTo x="270" y="3000"/>
                <wp:lineTo x="270" y="3600"/>
                <wp:lineTo x="810" y="5400"/>
                <wp:lineTo x="270" y="5400"/>
                <wp:lineTo x="270" y="6000"/>
                <wp:lineTo x="810" y="7800"/>
                <wp:lineTo x="180" y="7950"/>
                <wp:lineTo x="180" y="8250"/>
                <wp:lineTo x="810" y="10200"/>
                <wp:lineTo x="270" y="10200"/>
                <wp:lineTo x="270" y="10800"/>
                <wp:lineTo x="810" y="12600"/>
                <wp:lineTo x="270" y="12600"/>
                <wp:lineTo x="270" y="13200"/>
                <wp:lineTo x="810" y="15000"/>
                <wp:lineTo x="270" y="15000"/>
                <wp:lineTo x="270" y="15600"/>
                <wp:lineTo x="810" y="17400"/>
                <wp:lineTo x="540" y="17550"/>
                <wp:lineTo x="720" y="18150"/>
                <wp:lineTo x="2610" y="19800"/>
                <wp:lineTo x="2610" y="20250"/>
                <wp:lineTo x="3510" y="21450"/>
                <wp:lineTo x="3870" y="21450"/>
                <wp:lineTo x="21510" y="21450"/>
                <wp:lineTo x="21510" y="10200"/>
                <wp:lineTo x="1530" y="10200"/>
                <wp:lineTo x="1530" y="300"/>
                <wp:lineTo x="810" y="30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7622D9" w:rsidRDefault="007622D9" w:rsidP="0011556D">
      <w:pPr>
        <w:rPr>
          <w:sz w:val="22"/>
          <w:szCs w:val="22"/>
        </w:rPr>
      </w:pPr>
    </w:p>
    <w:p w:rsidR="007622D9" w:rsidRDefault="007622D9" w:rsidP="0011556D">
      <w:pPr>
        <w:rPr>
          <w:sz w:val="22"/>
          <w:szCs w:val="22"/>
        </w:rPr>
      </w:pPr>
    </w:p>
    <w:p w:rsidR="007622D9" w:rsidRDefault="007622D9" w:rsidP="0011556D">
      <w:pPr>
        <w:rPr>
          <w:sz w:val="22"/>
          <w:szCs w:val="22"/>
        </w:rPr>
      </w:pPr>
    </w:p>
    <w:p w:rsidR="007622D9" w:rsidRDefault="007622D9" w:rsidP="0011556D">
      <w:pPr>
        <w:rPr>
          <w:sz w:val="22"/>
          <w:szCs w:val="22"/>
        </w:rPr>
      </w:pPr>
    </w:p>
    <w:p w:rsidR="007622D9" w:rsidRDefault="007622D9" w:rsidP="0011556D">
      <w:pPr>
        <w:rPr>
          <w:sz w:val="22"/>
          <w:szCs w:val="22"/>
        </w:rPr>
      </w:pPr>
    </w:p>
    <w:p w:rsidR="007622D9" w:rsidRDefault="007622D9" w:rsidP="0011556D">
      <w:pPr>
        <w:rPr>
          <w:sz w:val="22"/>
          <w:szCs w:val="22"/>
        </w:rPr>
      </w:pPr>
    </w:p>
    <w:p w:rsidR="007622D9" w:rsidRDefault="007622D9" w:rsidP="0011556D">
      <w:pPr>
        <w:rPr>
          <w:sz w:val="22"/>
          <w:szCs w:val="22"/>
        </w:rPr>
      </w:pPr>
    </w:p>
    <w:p w:rsidR="007622D9" w:rsidRDefault="007622D9" w:rsidP="0011556D">
      <w:pPr>
        <w:rPr>
          <w:sz w:val="22"/>
          <w:szCs w:val="22"/>
        </w:rPr>
      </w:pPr>
    </w:p>
    <w:p w:rsidR="007127F8" w:rsidRDefault="007127F8" w:rsidP="0011556D">
      <w:pPr>
        <w:rPr>
          <w:b/>
        </w:rPr>
      </w:pPr>
    </w:p>
    <w:p w:rsidR="00234837" w:rsidRPr="00234837" w:rsidRDefault="00234837" w:rsidP="0011556D">
      <w:pPr>
        <w:rPr>
          <w:sz w:val="22"/>
          <w:szCs w:val="22"/>
        </w:rPr>
      </w:pPr>
      <w:r>
        <w:rPr>
          <w:sz w:val="22"/>
          <w:szCs w:val="22"/>
        </w:rPr>
        <w:t xml:space="preserve">For stakeholders, online training was the most popular option followed by face to face training. </w:t>
      </w:r>
    </w:p>
    <w:p w:rsidR="00137349" w:rsidRPr="00137349" w:rsidRDefault="00537305" w:rsidP="0011556D">
      <w:pPr>
        <w:rPr>
          <w:b/>
        </w:rPr>
      </w:pPr>
      <w:r>
        <w:rPr>
          <w:b/>
        </w:rPr>
        <w:t>Q</w:t>
      </w:r>
      <w:r w:rsidR="00137349">
        <w:rPr>
          <w:b/>
        </w:rPr>
        <w:t>.7</w:t>
      </w:r>
      <w:r w:rsidR="00A42495">
        <w:rPr>
          <w:b/>
        </w:rPr>
        <w:t>a</w:t>
      </w:r>
      <w:r w:rsidR="00137349">
        <w:rPr>
          <w:b/>
        </w:rPr>
        <w:t xml:space="preserve"> Questions/statements regarding the proposed new Move Improve service</w:t>
      </w:r>
    </w:p>
    <w:p w:rsidR="00700BD7" w:rsidRDefault="00137349" w:rsidP="0011556D">
      <w:pPr>
        <w:rPr>
          <w:sz w:val="22"/>
          <w:szCs w:val="22"/>
        </w:rPr>
      </w:pPr>
      <w:r>
        <w:rPr>
          <w:sz w:val="22"/>
          <w:szCs w:val="22"/>
        </w:rPr>
        <w:t>All respondents were asked the degree to which they agreed or disagreed with a series of statement</w:t>
      </w:r>
      <w:r w:rsidR="001B02EA">
        <w:rPr>
          <w:sz w:val="22"/>
          <w:szCs w:val="22"/>
        </w:rPr>
        <w:t>s</w:t>
      </w:r>
      <w:r>
        <w:rPr>
          <w:sz w:val="22"/>
          <w:szCs w:val="22"/>
        </w:rPr>
        <w:t xml:space="preserve"> about the proposed Move Improve service. A</w:t>
      </w:r>
      <w:r w:rsidR="00545AA6">
        <w:rPr>
          <w:sz w:val="22"/>
          <w:szCs w:val="22"/>
        </w:rPr>
        <w:t xml:space="preserve">greement scores for </w:t>
      </w:r>
      <w:r>
        <w:rPr>
          <w:sz w:val="22"/>
          <w:szCs w:val="22"/>
        </w:rPr>
        <w:t>p</w:t>
      </w:r>
      <w:r w:rsidR="00545AA6">
        <w:rPr>
          <w:sz w:val="22"/>
          <w:szCs w:val="22"/>
        </w:rPr>
        <w:t>ublic/</w:t>
      </w:r>
      <w:r w:rsidR="00537305">
        <w:rPr>
          <w:sz w:val="22"/>
          <w:szCs w:val="22"/>
        </w:rPr>
        <w:t>c</w:t>
      </w:r>
      <w:r w:rsidR="00545AA6">
        <w:rPr>
          <w:sz w:val="22"/>
          <w:szCs w:val="22"/>
        </w:rPr>
        <w:t>arers/friends/relatives</w:t>
      </w:r>
      <w:r>
        <w:rPr>
          <w:sz w:val="22"/>
          <w:szCs w:val="22"/>
        </w:rPr>
        <w:t xml:space="preserve"> and stakeholders are set out in the tables below.</w:t>
      </w:r>
    </w:p>
    <w:p w:rsidR="00430BDA" w:rsidRDefault="00430BDA" w:rsidP="0011556D">
      <w:pPr>
        <w:rPr>
          <w:b/>
          <w:sz w:val="22"/>
          <w:szCs w:val="22"/>
        </w:rPr>
      </w:pPr>
    </w:p>
    <w:p w:rsidR="001B02EA" w:rsidRPr="001B02EA" w:rsidRDefault="001B02EA" w:rsidP="0011556D">
      <w:pPr>
        <w:rPr>
          <w:b/>
          <w:sz w:val="22"/>
          <w:szCs w:val="22"/>
        </w:rPr>
      </w:pPr>
      <w:r w:rsidRPr="001B02EA">
        <w:rPr>
          <w:b/>
          <w:sz w:val="22"/>
          <w:szCs w:val="22"/>
        </w:rPr>
        <w:lastRenderedPageBreak/>
        <w:t>Table 6</w:t>
      </w:r>
    </w:p>
    <w:tbl>
      <w:tblPr>
        <w:tblStyle w:val="TableGrid"/>
        <w:tblW w:w="0" w:type="auto"/>
        <w:tblLook w:val="04A0" w:firstRow="1" w:lastRow="0" w:firstColumn="1" w:lastColumn="0" w:noHBand="0" w:noVBand="1"/>
      </w:tblPr>
      <w:tblGrid>
        <w:gridCol w:w="7338"/>
        <w:gridCol w:w="1904"/>
      </w:tblGrid>
      <w:tr w:rsidR="00052B2E" w:rsidRPr="00052B2E" w:rsidTr="00052B2E">
        <w:tc>
          <w:tcPr>
            <w:tcW w:w="7338" w:type="dxa"/>
            <w:shd w:val="clear" w:color="auto" w:fill="477CBF"/>
          </w:tcPr>
          <w:p w:rsidR="00F74A87" w:rsidRPr="00052B2E" w:rsidRDefault="00F74A87" w:rsidP="001B02EA">
            <w:pPr>
              <w:rPr>
                <w:b/>
                <w:color w:val="FFFFFF" w:themeColor="background1"/>
                <w:sz w:val="22"/>
                <w:szCs w:val="22"/>
              </w:rPr>
            </w:pPr>
            <w:r w:rsidRPr="00052B2E">
              <w:rPr>
                <w:b/>
                <w:color w:val="FFFFFF" w:themeColor="background1"/>
                <w:sz w:val="22"/>
                <w:szCs w:val="22"/>
              </w:rPr>
              <w:t>Question/Statement</w:t>
            </w:r>
            <w:r w:rsidR="001B02EA" w:rsidRPr="00052B2E">
              <w:rPr>
                <w:b/>
                <w:color w:val="FFFFFF" w:themeColor="background1"/>
                <w:sz w:val="22"/>
                <w:szCs w:val="22"/>
              </w:rPr>
              <w:t xml:space="preserve"> – Public/carers/friends/relatives</w:t>
            </w:r>
          </w:p>
        </w:tc>
        <w:tc>
          <w:tcPr>
            <w:tcW w:w="1904" w:type="dxa"/>
            <w:shd w:val="clear" w:color="auto" w:fill="477CBF"/>
          </w:tcPr>
          <w:p w:rsidR="00F74A87" w:rsidRPr="00052B2E" w:rsidRDefault="00F74A87" w:rsidP="0011556D">
            <w:pPr>
              <w:rPr>
                <w:b/>
                <w:color w:val="FFFFFF" w:themeColor="background1"/>
                <w:sz w:val="22"/>
                <w:szCs w:val="22"/>
              </w:rPr>
            </w:pPr>
            <w:r w:rsidRPr="00052B2E">
              <w:rPr>
                <w:b/>
                <w:color w:val="FFFFFF" w:themeColor="background1"/>
                <w:sz w:val="22"/>
                <w:szCs w:val="22"/>
              </w:rPr>
              <w:t>Agreement Score %*</w:t>
            </w:r>
          </w:p>
        </w:tc>
      </w:tr>
      <w:tr w:rsidR="002D64DC" w:rsidTr="00742CC4">
        <w:tc>
          <w:tcPr>
            <w:tcW w:w="7338" w:type="dxa"/>
          </w:tcPr>
          <w:p w:rsidR="002D64DC" w:rsidRPr="00F74A87" w:rsidRDefault="002D64DC" w:rsidP="0011556D">
            <w:pPr>
              <w:rPr>
                <w:sz w:val="20"/>
                <w:szCs w:val="20"/>
              </w:rPr>
            </w:pPr>
            <w:r>
              <w:rPr>
                <w:sz w:val="20"/>
                <w:szCs w:val="20"/>
              </w:rPr>
              <w:t>The proposed Move! Improve service is needed in Warwickshire</w:t>
            </w:r>
          </w:p>
        </w:tc>
        <w:tc>
          <w:tcPr>
            <w:tcW w:w="1904" w:type="dxa"/>
            <w:vAlign w:val="bottom"/>
          </w:tcPr>
          <w:p w:rsidR="002D64DC" w:rsidRPr="002D64DC" w:rsidRDefault="002D64DC" w:rsidP="002D64DC">
            <w:pPr>
              <w:jc w:val="center"/>
              <w:rPr>
                <w:color w:val="000000"/>
                <w:sz w:val="22"/>
                <w:szCs w:val="22"/>
              </w:rPr>
            </w:pPr>
            <w:r w:rsidRPr="002D64DC">
              <w:rPr>
                <w:color w:val="000000"/>
                <w:sz w:val="22"/>
                <w:szCs w:val="22"/>
              </w:rPr>
              <w:t>74.8%</w:t>
            </w:r>
          </w:p>
        </w:tc>
      </w:tr>
      <w:tr w:rsidR="002D64DC" w:rsidTr="00742CC4">
        <w:tc>
          <w:tcPr>
            <w:tcW w:w="7338" w:type="dxa"/>
          </w:tcPr>
          <w:p w:rsidR="002D64DC" w:rsidRPr="00F74A87" w:rsidRDefault="002D64DC" w:rsidP="0011556D">
            <w:pPr>
              <w:rPr>
                <w:sz w:val="20"/>
                <w:szCs w:val="20"/>
              </w:rPr>
            </w:pPr>
            <w:r>
              <w:rPr>
                <w:sz w:val="20"/>
                <w:szCs w:val="20"/>
              </w:rPr>
              <w:t>The Move! Improve! Service should be for Warwickshire residents aged 50</w:t>
            </w:r>
            <w:r w:rsidR="008534D5">
              <w:rPr>
                <w:sz w:val="20"/>
                <w:szCs w:val="20"/>
              </w:rPr>
              <w:t xml:space="preserve"> </w:t>
            </w:r>
            <w:r>
              <w:rPr>
                <w:sz w:val="20"/>
                <w:szCs w:val="20"/>
              </w:rPr>
              <w:t>years and over</w:t>
            </w:r>
          </w:p>
        </w:tc>
        <w:tc>
          <w:tcPr>
            <w:tcW w:w="1904" w:type="dxa"/>
            <w:vAlign w:val="bottom"/>
          </w:tcPr>
          <w:p w:rsidR="002D64DC" w:rsidRPr="002D64DC" w:rsidRDefault="002D64DC" w:rsidP="002D64DC">
            <w:pPr>
              <w:jc w:val="center"/>
              <w:rPr>
                <w:color w:val="000000"/>
                <w:sz w:val="22"/>
                <w:szCs w:val="22"/>
              </w:rPr>
            </w:pPr>
            <w:r w:rsidRPr="002D64DC">
              <w:rPr>
                <w:color w:val="000000"/>
                <w:sz w:val="22"/>
                <w:szCs w:val="22"/>
              </w:rPr>
              <w:t>65.7%</w:t>
            </w:r>
          </w:p>
        </w:tc>
      </w:tr>
      <w:tr w:rsidR="002D64DC" w:rsidTr="00742CC4">
        <w:tc>
          <w:tcPr>
            <w:tcW w:w="7338" w:type="dxa"/>
          </w:tcPr>
          <w:p w:rsidR="002D64DC" w:rsidRPr="00F74A87" w:rsidRDefault="002D64DC" w:rsidP="00F74A87">
            <w:pPr>
              <w:rPr>
                <w:sz w:val="20"/>
                <w:szCs w:val="20"/>
              </w:rPr>
            </w:pPr>
            <w:r w:rsidRPr="00F74A87">
              <w:rPr>
                <w:sz w:val="20"/>
                <w:szCs w:val="20"/>
              </w:rPr>
              <w:t>Referrals to the Move Improve service should be for those who may have a medical condition that makes them at greater risk of a first fall</w:t>
            </w:r>
          </w:p>
        </w:tc>
        <w:tc>
          <w:tcPr>
            <w:tcW w:w="1904" w:type="dxa"/>
            <w:vAlign w:val="bottom"/>
          </w:tcPr>
          <w:p w:rsidR="002D64DC" w:rsidRPr="002D64DC" w:rsidRDefault="002D64DC" w:rsidP="002D64DC">
            <w:pPr>
              <w:jc w:val="center"/>
              <w:rPr>
                <w:color w:val="000000"/>
                <w:sz w:val="22"/>
                <w:szCs w:val="22"/>
              </w:rPr>
            </w:pPr>
            <w:r w:rsidRPr="002D64DC">
              <w:rPr>
                <w:color w:val="000000"/>
                <w:sz w:val="22"/>
                <w:szCs w:val="22"/>
              </w:rPr>
              <w:t>84.3%</w:t>
            </w:r>
          </w:p>
        </w:tc>
      </w:tr>
      <w:tr w:rsidR="002D64DC" w:rsidTr="00742CC4">
        <w:tc>
          <w:tcPr>
            <w:tcW w:w="7338" w:type="dxa"/>
          </w:tcPr>
          <w:p w:rsidR="002D64DC" w:rsidRPr="00F74A87" w:rsidRDefault="002D64DC" w:rsidP="0011556D">
            <w:pPr>
              <w:rPr>
                <w:sz w:val="20"/>
                <w:szCs w:val="20"/>
              </w:rPr>
            </w:pPr>
            <w:r>
              <w:rPr>
                <w:sz w:val="20"/>
                <w:szCs w:val="20"/>
              </w:rPr>
              <w:t>The Move Improve service should offer a specialist assessment and 12 week personalised intervention programme to accepted users</w:t>
            </w:r>
          </w:p>
        </w:tc>
        <w:tc>
          <w:tcPr>
            <w:tcW w:w="1904" w:type="dxa"/>
            <w:vAlign w:val="bottom"/>
          </w:tcPr>
          <w:p w:rsidR="002D64DC" w:rsidRPr="002D64DC" w:rsidRDefault="002D64DC" w:rsidP="002D64DC">
            <w:pPr>
              <w:jc w:val="center"/>
              <w:rPr>
                <w:color w:val="000000"/>
                <w:sz w:val="22"/>
                <w:szCs w:val="22"/>
              </w:rPr>
            </w:pPr>
            <w:r w:rsidRPr="002D64DC">
              <w:rPr>
                <w:color w:val="000000"/>
                <w:sz w:val="22"/>
                <w:szCs w:val="22"/>
              </w:rPr>
              <w:t>83.6%</w:t>
            </w:r>
          </w:p>
        </w:tc>
      </w:tr>
      <w:tr w:rsidR="002D64DC" w:rsidTr="00742CC4">
        <w:tc>
          <w:tcPr>
            <w:tcW w:w="7338" w:type="dxa"/>
          </w:tcPr>
          <w:p w:rsidR="002D64DC" w:rsidRPr="00F74A87" w:rsidRDefault="002D64DC" w:rsidP="00414167">
            <w:pPr>
              <w:rPr>
                <w:sz w:val="20"/>
                <w:szCs w:val="20"/>
              </w:rPr>
            </w:pPr>
            <w:r>
              <w:rPr>
                <w:sz w:val="20"/>
                <w:szCs w:val="20"/>
              </w:rPr>
              <w:t>Frontline practitioners in contact with people at ris</w:t>
            </w:r>
            <w:r w:rsidR="00414167">
              <w:rPr>
                <w:sz w:val="20"/>
                <w:szCs w:val="20"/>
              </w:rPr>
              <w:t>k</w:t>
            </w:r>
            <w:r>
              <w:rPr>
                <w:sz w:val="20"/>
                <w:szCs w:val="20"/>
              </w:rPr>
              <w:t xml:space="preserve"> of a first fall should be able to access the learning and development service (Service element two)</w:t>
            </w:r>
          </w:p>
        </w:tc>
        <w:tc>
          <w:tcPr>
            <w:tcW w:w="1904" w:type="dxa"/>
            <w:vAlign w:val="bottom"/>
          </w:tcPr>
          <w:p w:rsidR="002D64DC" w:rsidRPr="002D64DC" w:rsidRDefault="002D64DC" w:rsidP="002D64DC">
            <w:pPr>
              <w:jc w:val="center"/>
              <w:rPr>
                <w:color w:val="000000"/>
                <w:sz w:val="22"/>
                <w:szCs w:val="22"/>
              </w:rPr>
            </w:pPr>
            <w:r w:rsidRPr="002D64DC">
              <w:rPr>
                <w:color w:val="000000"/>
                <w:sz w:val="22"/>
                <w:szCs w:val="22"/>
              </w:rPr>
              <w:t>88.7%</w:t>
            </w:r>
          </w:p>
        </w:tc>
      </w:tr>
      <w:tr w:rsidR="002D64DC" w:rsidTr="00742CC4">
        <w:tc>
          <w:tcPr>
            <w:tcW w:w="7338" w:type="dxa"/>
          </w:tcPr>
          <w:p w:rsidR="002D64DC" w:rsidRPr="00F74A87" w:rsidRDefault="002D64DC" w:rsidP="0011556D">
            <w:pPr>
              <w:rPr>
                <w:sz w:val="20"/>
                <w:szCs w:val="20"/>
              </w:rPr>
            </w:pPr>
            <w:r>
              <w:rPr>
                <w:sz w:val="20"/>
                <w:szCs w:val="20"/>
              </w:rPr>
              <w:t>Carers/family friends in contact with people at risk of a first fall should be able to access the learning and development service (Service element two)</w:t>
            </w:r>
          </w:p>
        </w:tc>
        <w:tc>
          <w:tcPr>
            <w:tcW w:w="1904" w:type="dxa"/>
            <w:vAlign w:val="bottom"/>
          </w:tcPr>
          <w:p w:rsidR="002D64DC" w:rsidRPr="002D64DC" w:rsidRDefault="002D64DC" w:rsidP="002D64DC">
            <w:pPr>
              <w:jc w:val="center"/>
              <w:rPr>
                <w:color w:val="000000"/>
                <w:sz w:val="22"/>
                <w:szCs w:val="22"/>
              </w:rPr>
            </w:pPr>
            <w:r w:rsidRPr="002D64DC">
              <w:rPr>
                <w:color w:val="000000"/>
                <w:sz w:val="22"/>
                <w:szCs w:val="22"/>
              </w:rPr>
              <w:t>81.3%</w:t>
            </w:r>
          </w:p>
        </w:tc>
      </w:tr>
    </w:tbl>
    <w:p w:rsidR="0011556D" w:rsidRDefault="00F74A87" w:rsidP="00F74A87">
      <w:pPr>
        <w:rPr>
          <w:sz w:val="18"/>
          <w:szCs w:val="18"/>
        </w:rPr>
      </w:pPr>
      <w:r>
        <w:t>*</w:t>
      </w:r>
      <w:r w:rsidRPr="00F74A87">
        <w:rPr>
          <w:sz w:val="18"/>
          <w:szCs w:val="18"/>
        </w:rPr>
        <w:t>includes respondents who either ‘</w:t>
      </w:r>
      <w:r w:rsidR="00700BD7">
        <w:rPr>
          <w:sz w:val="18"/>
          <w:szCs w:val="18"/>
        </w:rPr>
        <w:t>S</w:t>
      </w:r>
      <w:r w:rsidR="00700BD7" w:rsidRPr="00F74A87">
        <w:rPr>
          <w:sz w:val="18"/>
          <w:szCs w:val="18"/>
        </w:rPr>
        <w:t>trongly</w:t>
      </w:r>
      <w:r w:rsidRPr="00F74A87">
        <w:rPr>
          <w:sz w:val="18"/>
          <w:szCs w:val="18"/>
        </w:rPr>
        <w:t xml:space="preserve"> agreed’ or ‘Agree</w:t>
      </w:r>
      <w:r w:rsidR="00137349">
        <w:rPr>
          <w:sz w:val="18"/>
          <w:szCs w:val="18"/>
        </w:rPr>
        <w:t>d</w:t>
      </w:r>
      <w:r w:rsidRPr="00F74A87">
        <w:rPr>
          <w:sz w:val="18"/>
          <w:szCs w:val="18"/>
        </w:rPr>
        <w:t>’ with the question</w:t>
      </w:r>
    </w:p>
    <w:p w:rsidR="001B02EA" w:rsidRPr="001B02EA" w:rsidRDefault="001B02EA" w:rsidP="00F74A87">
      <w:pPr>
        <w:rPr>
          <w:b/>
          <w:sz w:val="22"/>
          <w:szCs w:val="22"/>
        </w:rPr>
      </w:pPr>
      <w:r w:rsidRPr="001B02EA">
        <w:rPr>
          <w:b/>
          <w:sz w:val="22"/>
          <w:szCs w:val="22"/>
        </w:rPr>
        <w:t>Table 7</w:t>
      </w:r>
    </w:p>
    <w:tbl>
      <w:tblPr>
        <w:tblStyle w:val="TableGrid"/>
        <w:tblW w:w="0" w:type="auto"/>
        <w:shd w:val="clear" w:color="auto" w:fill="477CBF"/>
        <w:tblLook w:val="04A0" w:firstRow="1" w:lastRow="0" w:firstColumn="1" w:lastColumn="0" w:noHBand="0" w:noVBand="1"/>
      </w:tblPr>
      <w:tblGrid>
        <w:gridCol w:w="7338"/>
        <w:gridCol w:w="1904"/>
      </w:tblGrid>
      <w:tr w:rsidR="00700BD7" w:rsidTr="00AB7F98">
        <w:tc>
          <w:tcPr>
            <w:tcW w:w="7338" w:type="dxa"/>
            <w:tcBorders>
              <w:bottom w:val="single" w:sz="4" w:space="0" w:color="auto"/>
            </w:tcBorders>
            <w:shd w:val="clear" w:color="auto" w:fill="477CBF"/>
          </w:tcPr>
          <w:p w:rsidR="00700BD7" w:rsidRPr="00AB7F98" w:rsidRDefault="00700BD7" w:rsidP="00320C64">
            <w:pPr>
              <w:rPr>
                <w:b/>
                <w:color w:val="FFFFFF" w:themeColor="background1"/>
                <w:sz w:val="22"/>
                <w:szCs w:val="22"/>
              </w:rPr>
            </w:pPr>
            <w:r w:rsidRPr="00AB7F98">
              <w:rPr>
                <w:b/>
                <w:color w:val="FFFFFF" w:themeColor="background1"/>
                <w:sz w:val="22"/>
                <w:szCs w:val="22"/>
              </w:rPr>
              <w:t>Question/Statement</w:t>
            </w:r>
            <w:r w:rsidR="001B02EA" w:rsidRPr="00AB7F98">
              <w:rPr>
                <w:b/>
                <w:color w:val="FFFFFF" w:themeColor="background1"/>
                <w:sz w:val="22"/>
                <w:szCs w:val="22"/>
              </w:rPr>
              <w:t xml:space="preserve"> - Stakeholders</w:t>
            </w:r>
          </w:p>
        </w:tc>
        <w:tc>
          <w:tcPr>
            <w:tcW w:w="1904" w:type="dxa"/>
            <w:tcBorders>
              <w:bottom w:val="single" w:sz="4" w:space="0" w:color="auto"/>
            </w:tcBorders>
            <w:shd w:val="clear" w:color="auto" w:fill="477CBF"/>
          </w:tcPr>
          <w:p w:rsidR="00700BD7" w:rsidRPr="00AB7F98" w:rsidRDefault="00700BD7" w:rsidP="00320C64">
            <w:pPr>
              <w:rPr>
                <w:b/>
                <w:color w:val="FFFFFF" w:themeColor="background1"/>
                <w:sz w:val="22"/>
                <w:szCs w:val="22"/>
              </w:rPr>
            </w:pPr>
            <w:r w:rsidRPr="00AB7F98">
              <w:rPr>
                <w:b/>
                <w:color w:val="FFFFFF" w:themeColor="background1"/>
                <w:sz w:val="22"/>
                <w:szCs w:val="22"/>
              </w:rPr>
              <w:t>Agreement Score %*</w:t>
            </w:r>
          </w:p>
        </w:tc>
      </w:tr>
      <w:tr w:rsidR="002D64DC" w:rsidTr="00AB7F98">
        <w:tc>
          <w:tcPr>
            <w:tcW w:w="7338" w:type="dxa"/>
            <w:shd w:val="clear" w:color="auto" w:fill="FFFFFF" w:themeFill="background1"/>
          </w:tcPr>
          <w:p w:rsidR="002D64DC" w:rsidRPr="00F74A87" w:rsidRDefault="002D64DC" w:rsidP="00320C64">
            <w:pPr>
              <w:rPr>
                <w:sz w:val="20"/>
                <w:szCs w:val="20"/>
              </w:rPr>
            </w:pPr>
            <w:r>
              <w:rPr>
                <w:sz w:val="20"/>
                <w:szCs w:val="20"/>
              </w:rPr>
              <w:t>The proposed Move! Improve service is needed in Warwickshire</w:t>
            </w:r>
          </w:p>
        </w:tc>
        <w:tc>
          <w:tcPr>
            <w:tcW w:w="1904" w:type="dxa"/>
            <w:shd w:val="clear" w:color="auto" w:fill="FFFFFF" w:themeFill="background1"/>
            <w:vAlign w:val="bottom"/>
          </w:tcPr>
          <w:p w:rsidR="002D64DC" w:rsidRPr="002D64DC" w:rsidRDefault="002D64DC" w:rsidP="002D64DC">
            <w:pPr>
              <w:jc w:val="center"/>
              <w:rPr>
                <w:color w:val="000000"/>
                <w:sz w:val="22"/>
                <w:szCs w:val="22"/>
              </w:rPr>
            </w:pPr>
            <w:r w:rsidRPr="002D64DC">
              <w:rPr>
                <w:color w:val="000000"/>
                <w:sz w:val="22"/>
                <w:szCs w:val="22"/>
              </w:rPr>
              <w:t>83.8%</w:t>
            </w:r>
          </w:p>
        </w:tc>
      </w:tr>
      <w:tr w:rsidR="002D64DC" w:rsidTr="00AB7F98">
        <w:tc>
          <w:tcPr>
            <w:tcW w:w="7338" w:type="dxa"/>
            <w:shd w:val="clear" w:color="auto" w:fill="FFFFFF" w:themeFill="background1"/>
          </w:tcPr>
          <w:p w:rsidR="002D64DC" w:rsidRPr="00F74A87" w:rsidRDefault="002D64DC" w:rsidP="00320C64">
            <w:pPr>
              <w:rPr>
                <w:sz w:val="20"/>
                <w:szCs w:val="20"/>
              </w:rPr>
            </w:pPr>
            <w:r>
              <w:rPr>
                <w:sz w:val="20"/>
                <w:szCs w:val="20"/>
              </w:rPr>
              <w:t>The Move! Improve! Service should be for Warwickshire residents aged 50years and over</w:t>
            </w:r>
          </w:p>
        </w:tc>
        <w:tc>
          <w:tcPr>
            <w:tcW w:w="1904" w:type="dxa"/>
            <w:shd w:val="clear" w:color="auto" w:fill="FFFFFF" w:themeFill="background1"/>
            <w:vAlign w:val="bottom"/>
          </w:tcPr>
          <w:p w:rsidR="002D64DC" w:rsidRPr="002D64DC" w:rsidRDefault="002D64DC" w:rsidP="002D64DC">
            <w:pPr>
              <w:jc w:val="center"/>
              <w:rPr>
                <w:color w:val="000000"/>
                <w:sz w:val="22"/>
                <w:szCs w:val="22"/>
              </w:rPr>
            </w:pPr>
            <w:r w:rsidRPr="002D64DC">
              <w:rPr>
                <w:color w:val="000000"/>
                <w:sz w:val="22"/>
                <w:szCs w:val="22"/>
              </w:rPr>
              <w:t>59.5%</w:t>
            </w:r>
          </w:p>
        </w:tc>
      </w:tr>
      <w:tr w:rsidR="002D64DC" w:rsidTr="00AB7F98">
        <w:tc>
          <w:tcPr>
            <w:tcW w:w="7338" w:type="dxa"/>
            <w:shd w:val="clear" w:color="auto" w:fill="FFFFFF" w:themeFill="background1"/>
          </w:tcPr>
          <w:p w:rsidR="002D64DC" w:rsidRPr="00F74A87" w:rsidRDefault="002D64DC" w:rsidP="00320C64">
            <w:pPr>
              <w:rPr>
                <w:sz w:val="20"/>
                <w:szCs w:val="20"/>
              </w:rPr>
            </w:pPr>
            <w:r w:rsidRPr="00F74A87">
              <w:rPr>
                <w:sz w:val="20"/>
                <w:szCs w:val="20"/>
              </w:rPr>
              <w:t>Referrals to the Move Improve service should be for those who may have a medical condition that makes them at greater risk of a first fall</w:t>
            </w:r>
          </w:p>
        </w:tc>
        <w:tc>
          <w:tcPr>
            <w:tcW w:w="1904" w:type="dxa"/>
            <w:shd w:val="clear" w:color="auto" w:fill="FFFFFF" w:themeFill="background1"/>
            <w:vAlign w:val="bottom"/>
          </w:tcPr>
          <w:p w:rsidR="002D64DC" w:rsidRPr="002D64DC" w:rsidRDefault="002D64DC" w:rsidP="002D64DC">
            <w:pPr>
              <w:jc w:val="center"/>
              <w:rPr>
                <w:color w:val="000000"/>
                <w:sz w:val="22"/>
                <w:szCs w:val="22"/>
              </w:rPr>
            </w:pPr>
            <w:r w:rsidRPr="002D64DC">
              <w:rPr>
                <w:color w:val="000000"/>
                <w:sz w:val="22"/>
                <w:szCs w:val="22"/>
              </w:rPr>
              <w:t>72.2%</w:t>
            </w:r>
          </w:p>
        </w:tc>
      </w:tr>
      <w:tr w:rsidR="002D64DC" w:rsidTr="00AB7F98">
        <w:tc>
          <w:tcPr>
            <w:tcW w:w="7338" w:type="dxa"/>
            <w:shd w:val="clear" w:color="auto" w:fill="FFFFFF" w:themeFill="background1"/>
          </w:tcPr>
          <w:p w:rsidR="002D64DC" w:rsidRPr="00F74A87" w:rsidRDefault="002D64DC" w:rsidP="00320C64">
            <w:pPr>
              <w:rPr>
                <w:sz w:val="20"/>
                <w:szCs w:val="20"/>
              </w:rPr>
            </w:pPr>
            <w:r>
              <w:rPr>
                <w:sz w:val="20"/>
                <w:szCs w:val="20"/>
              </w:rPr>
              <w:t>The Move Improve service should offer a specialist assessment and 12 week personalised intervention programme to accepted users</w:t>
            </w:r>
          </w:p>
        </w:tc>
        <w:tc>
          <w:tcPr>
            <w:tcW w:w="1904" w:type="dxa"/>
            <w:shd w:val="clear" w:color="auto" w:fill="FFFFFF" w:themeFill="background1"/>
            <w:vAlign w:val="bottom"/>
          </w:tcPr>
          <w:p w:rsidR="002D64DC" w:rsidRPr="002D64DC" w:rsidRDefault="002D64DC" w:rsidP="002D64DC">
            <w:pPr>
              <w:jc w:val="center"/>
              <w:rPr>
                <w:color w:val="000000"/>
                <w:sz w:val="22"/>
                <w:szCs w:val="22"/>
              </w:rPr>
            </w:pPr>
            <w:r w:rsidRPr="002D64DC">
              <w:rPr>
                <w:color w:val="000000"/>
                <w:sz w:val="22"/>
                <w:szCs w:val="22"/>
              </w:rPr>
              <w:t>77.8%</w:t>
            </w:r>
          </w:p>
        </w:tc>
      </w:tr>
      <w:tr w:rsidR="002D64DC" w:rsidTr="00AB7F98">
        <w:tc>
          <w:tcPr>
            <w:tcW w:w="7338" w:type="dxa"/>
            <w:shd w:val="clear" w:color="auto" w:fill="FFFFFF" w:themeFill="background1"/>
          </w:tcPr>
          <w:p w:rsidR="002D64DC" w:rsidRPr="00F74A87" w:rsidRDefault="002D64DC" w:rsidP="004146A9">
            <w:pPr>
              <w:rPr>
                <w:sz w:val="20"/>
                <w:szCs w:val="20"/>
              </w:rPr>
            </w:pPr>
            <w:r>
              <w:rPr>
                <w:sz w:val="20"/>
                <w:szCs w:val="20"/>
              </w:rPr>
              <w:t>Frontline practitioners in contact with people at ris</w:t>
            </w:r>
            <w:r w:rsidR="004146A9">
              <w:rPr>
                <w:sz w:val="20"/>
                <w:szCs w:val="20"/>
              </w:rPr>
              <w:t>k</w:t>
            </w:r>
            <w:r>
              <w:rPr>
                <w:sz w:val="20"/>
                <w:szCs w:val="20"/>
              </w:rPr>
              <w:t xml:space="preserve"> of a first fall should be able to access the learning and development service (Service element two)</w:t>
            </w:r>
          </w:p>
        </w:tc>
        <w:tc>
          <w:tcPr>
            <w:tcW w:w="1904" w:type="dxa"/>
            <w:shd w:val="clear" w:color="auto" w:fill="FFFFFF" w:themeFill="background1"/>
            <w:vAlign w:val="bottom"/>
          </w:tcPr>
          <w:p w:rsidR="002D64DC" w:rsidRPr="002D64DC" w:rsidRDefault="002D64DC" w:rsidP="002D64DC">
            <w:pPr>
              <w:jc w:val="center"/>
              <w:rPr>
                <w:color w:val="000000"/>
                <w:sz w:val="22"/>
                <w:szCs w:val="22"/>
              </w:rPr>
            </w:pPr>
            <w:r w:rsidRPr="002D64DC">
              <w:rPr>
                <w:color w:val="000000"/>
                <w:sz w:val="22"/>
                <w:szCs w:val="22"/>
              </w:rPr>
              <w:t>78.4%</w:t>
            </w:r>
          </w:p>
        </w:tc>
      </w:tr>
      <w:tr w:rsidR="002D64DC" w:rsidTr="00AB7F98">
        <w:tc>
          <w:tcPr>
            <w:tcW w:w="7338" w:type="dxa"/>
            <w:shd w:val="clear" w:color="auto" w:fill="FFFFFF" w:themeFill="background1"/>
          </w:tcPr>
          <w:p w:rsidR="002D64DC" w:rsidRPr="00F74A87" w:rsidRDefault="002D64DC" w:rsidP="00320C64">
            <w:pPr>
              <w:rPr>
                <w:sz w:val="20"/>
                <w:szCs w:val="20"/>
              </w:rPr>
            </w:pPr>
            <w:r>
              <w:rPr>
                <w:sz w:val="20"/>
                <w:szCs w:val="20"/>
              </w:rPr>
              <w:t>Carers/family</w:t>
            </w:r>
            <w:r w:rsidR="008534D5">
              <w:rPr>
                <w:sz w:val="20"/>
                <w:szCs w:val="20"/>
              </w:rPr>
              <w:t>/</w:t>
            </w:r>
            <w:r>
              <w:rPr>
                <w:sz w:val="20"/>
                <w:szCs w:val="20"/>
              </w:rPr>
              <w:t xml:space="preserve"> friends in contact with people at risk of a first fall should be able to access the learning and development service (Service element two)</w:t>
            </w:r>
          </w:p>
        </w:tc>
        <w:tc>
          <w:tcPr>
            <w:tcW w:w="1904" w:type="dxa"/>
            <w:shd w:val="clear" w:color="auto" w:fill="FFFFFF" w:themeFill="background1"/>
            <w:vAlign w:val="bottom"/>
          </w:tcPr>
          <w:p w:rsidR="002D64DC" w:rsidRPr="002D64DC" w:rsidRDefault="002D64DC" w:rsidP="002D64DC">
            <w:pPr>
              <w:jc w:val="center"/>
              <w:rPr>
                <w:color w:val="000000"/>
                <w:sz w:val="22"/>
                <w:szCs w:val="22"/>
              </w:rPr>
            </w:pPr>
            <w:r w:rsidRPr="002D64DC">
              <w:rPr>
                <w:color w:val="000000"/>
                <w:sz w:val="22"/>
                <w:szCs w:val="22"/>
              </w:rPr>
              <w:t>88.9%</w:t>
            </w:r>
          </w:p>
        </w:tc>
      </w:tr>
    </w:tbl>
    <w:p w:rsidR="00700BD7" w:rsidRDefault="00700BD7" w:rsidP="00700BD7">
      <w:pPr>
        <w:rPr>
          <w:sz w:val="18"/>
          <w:szCs w:val="18"/>
        </w:rPr>
      </w:pPr>
      <w:r>
        <w:rPr>
          <w:sz w:val="18"/>
          <w:szCs w:val="18"/>
        </w:rPr>
        <w:t>*</w:t>
      </w:r>
      <w:r w:rsidRPr="00F74A87">
        <w:rPr>
          <w:sz w:val="18"/>
          <w:szCs w:val="18"/>
        </w:rPr>
        <w:t>includes respondents who either ‘</w:t>
      </w:r>
      <w:r>
        <w:rPr>
          <w:sz w:val="18"/>
          <w:szCs w:val="18"/>
        </w:rPr>
        <w:t>S</w:t>
      </w:r>
      <w:r w:rsidRPr="00F74A87">
        <w:rPr>
          <w:sz w:val="18"/>
          <w:szCs w:val="18"/>
        </w:rPr>
        <w:t>trongly agree’ or ‘Agree</w:t>
      </w:r>
      <w:r w:rsidR="00137349">
        <w:rPr>
          <w:sz w:val="18"/>
          <w:szCs w:val="18"/>
        </w:rPr>
        <w:t>d</w:t>
      </w:r>
      <w:r w:rsidRPr="00F74A87">
        <w:rPr>
          <w:sz w:val="18"/>
          <w:szCs w:val="18"/>
        </w:rPr>
        <w:t>’ with the question</w:t>
      </w:r>
      <w:r>
        <w:rPr>
          <w:sz w:val="18"/>
          <w:szCs w:val="18"/>
        </w:rPr>
        <w:t>/statement</w:t>
      </w:r>
    </w:p>
    <w:p w:rsidR="004146A9" w:rsidRDefault="004146A9" w:rsidP="004146A9">
      <w:pPr>
        <w:pStyle w:val="ListParagraph"/>
        <w:numPr>
          <w:ilvl w:val="0"/>
          <w:numId w:val="10"/>
        </w:numPr>
        <w:rPr>
          <w:sz w:val="22"/>
          <w:szCs w:val="22"/>
        </w:rPr>
      </w:pPr>
      <w:r>
        <w:rPr>
          <w:sz w:val="22"/>
          <w:szCs w:val="22"/>
        </w:rPr>
        <w:t xml:space="preserve">Over three quarters of </w:t>
      </w:r>
      <w:r w:rsidR="00414167">
        <w:rPr>
          <w:sz w:val="22"/>
          <w:szCs w:val="22"/>
        </w:rPr>
        <w:t>all</w:t>
      </w:r>
      <w:r>
        <w:rPr>
          <w:sz w:val="22"/>
          <w:szCs w:val="22"/>
        </w:rPr>
        <w:t xml:space="preserve"> respondents thought the proposed new service was needed. A slightly higher proportion of stakeholders thought there was a need for the proposed service compared with respondents in the other categories.</w:t>
      </w:r>
    </w:p>
    <w:p w:rsidR="004146A9" w:rsidRDefault="001B02EA" w:rsidP="004146A9">
      <w:pPr>
        <w:pStyle w:val="ListParagraph"/>
        <w:numPr>
          <w:ilvl w:val="0"/>
          <w:numId w:val="10"/>
        </w:numPr>
        <w:rPr>
          <w:sz w:val="22"/>
          <w:szCs w:val="22"/>
        </w:rPr>
      </w:pPr>
      <w:r>
        <w:rPr>
          <w:sz w:val="22"/>
          <w:szCs w:val="22"/>
        </w:rPr>
        <w:t>Agreement scores are lower for both sets of respondents for the statement ‘</w:t>
      </w:r>
      <w:r w:rsidRPr="004B0337">
        <w:rPr>
          <w:i/>
          <w:sz w:val="22"/>
          <w:szCs w:val="22"/>
        </w:rPr>
        <w:t xml:space="preserve">The Move! </w:t>
      </w:r>
      <w:r w:rsidR="00AB7F98" w:rsidRPr="004B0337">
        <w:rPr>
          <w:i/>
          <w:sz w:val="22"/>
          <w:szCs w:val="22"/>
        </w:rPr>
        <w:t>Improve</w:t>
      </w:r>
      <w:r w:rsidRPr="004B0337">
        <w:rPr>
          <w:i/>
          <w:sz w:val="22"/>
          <w:szCs w:val="22"/>
        </w:rPr>
        <w:t xml:space="preserve">! Service should be for Warwickshire residents </w:t>
      </w:r>
      <w:r w:rsidR="00AB7F98" w:rsidRPr="004B0337">
        <w:rPr>
          <w:i/>
          <w:sz w:val="22"/>
          <w:szCs w:val="22"/>
        </w:rPr>
        <w:t>aged</w:t>
      </w:r>
      <w:r w:rsidRPr="004B0337">
        <w:rPr>
          <w:i/>
          <w:sz w:val="22"/>
          <w:szCs w:val="22"/>
        </w:rPr>
        <w:t xml:space="preserve"> 50 years and </w:t>
      </w:r>
      <w:r w:rsidR="004B0337" w:rsidRPr="004B0337">
        <w:rPr>
          <w:i/>
          <w:sz w:val="22"/>
          <w:szCs w:val="22"/>
        </w:rPr>
        <w:t>over’</w:t>
      </w:r>
      <w:r w:rsidR="004B0337">
        <w:rPr>
          <w:sz w:val="22"/>
          <w:szCs w:val="22"/>
        </w:rPr>
        <w:t>. Proportionally</w:t>
      </w:r>
      <w:r w:rsidR="004146A9">
        <w:rPr>
          <w:sz w:val="22"/>
          <w:szCs w:val="22"/>
        </w:rPr>
        <w:t xml:space="preserve"> fewer stakeholders agreed that the service should only be for those over 50</w:t>
      </w:r>
      <w:r w:rsidR="004B0337">
        <w:rPr>
          <w:sz w:val="22"/>
          <w:szCs w:val="22"/>
        </w:rPr>
        <w:t xml:space="preserve"> years (59.9%)</w:t>
      </w:r>
    </w:p>
    <w:p w:rsidR="004146A9" w:rsidRDefault="004146A9" w:rsidP="004146A9">
      <w:pPr>
        <w:pStyle w:val="ListParagraph"/>
        <w:numPr>
          <w:ilvl w:val="0"/>
          <w:numId w:val="10"/>
        </w:numPr>
        <w:rPr>
          <w:sz w:val="22"/>
          <w:szCs w:val="22"/>
        </w:rPr>
      </w:pPr>
      <w:r>
        <w:rPr>
          <w:sz w:val="22"/>
          <w:szCs w:val="22"/>
        </w:rPr>
        <w:t>Similarly, proportionately fewer stakeholders thought referrals to the proposed service should be for those who are at greater risk of a first fall.</w:t>
      </w:r>
    </w:p>
    <w:p w:rsidR="001D38CA" w:rsidRDefault="00FA7531" w:rsidP="004146A9">
      <w:pPr>
        <w:pStyle w:val="ListParagraph"/>
        <w:numPr>
          <w:ilvl w:val="0"/>
          <w:numId w:val="10"/>
        </w:numPr>
        <w:rPr>
          <w:sz w:val="22"/>
          <w:szCs w:val="22"/>
        </w:rPr>
      </w:pPr>
      <w:r>
        <w:rPr>
          <w:sz w:val="22"/>
          <w:szCs w:val="22"/>
        </w:rPr>
        <w:t xml:space="preserve">Both sets of respondents </w:t>
      </w:r>
      <w:r w:rsidR="001B02EA">
        <w:rPr>
          <w:sz w:val="22"/>
          <w:szCs w:val="22"/>
        </w:rPr>
        <w:t xml:space="preserve">had high agreement scores when asked about the </w:t>
      </w:r>
      <w:r>
        <w:rPr>
          <w:sz w:val="22"/>
          <w:szCs w:val="22"/>
        </w:rPr>
        <w:t xml:space="preserve">need for frontline practitioners and carers/family/friends to be able to access the learning and development service. </w:t>
      </w:r>
    </w:p>
    <w:p w:rsidR="001D38CA" w:rsidRPr="001D38CA" w:rsidRDefault="001D38CA" w:rsidP="0042076E">
      <w:pPr>
        <w:pStyle w:val="ListParagraph"/>
        <w:numPr>
          <w:ilvl w:val="0"/>
          <w:numId w:val="10"/>
        </w:numPr>
        <w:rPr>
          <w:b/>
          <w:sz w:val="22"/>
          <w:szCs w:val="22"/>
        </w:rPr>
      </w:pPr>
      <w:r w:rsidRPr="001D38CA">
        <w:rPr>
          <w:sz w:val="22"/>
          <w:szCs w:val="22"/>
        </w:rPr>
        <w:t>T</w:t>
      </w:r>
      <w:r w:rsidR="008534D5" w:rsidRPr="001D38CA">
        <w:rPr>
          <w:sz w:val="22"/>
          <w:szCs w:val="22"/>
        </w:rPr>
        <w:t>he public/carers/friends/relatives category rated the need for frontline practitioners to have access to training higher than</w:t>
      </w:r>
      <w:r>
        <w:rPr>
          <w:sz w:val="22"/>
          <w:szCs w:val="22"/>
        </w:rPr>
        <w:t xml:space="preserve"> c</w:t>
      </w:r>
      <w:r w:rsidR="008534D5" w:rsidRPr="001D38CA">
        <w:rPr>
          <w:sz w:val="22"/>
          <w:szCs w:val="22"/>
        </w:rPr>
        <w:t xml:space="preserve">arers/family/friends while stakeholders rated the need for </w:t>
      </w:r>
      <w:r w:rsidRPr="001D38CA">
        <w:rPr>
          <w:sz w:val="22"/>
          <w:szCs w:val="22"/>
        </w:rPr>
        <w:t>carers/family/friends to have access to the training higher than stakeholders</w:t>
      </w:r>
      <w:r>
        <w:rPr>
          <w:sz w:val="22"/>
          <w:szCs w:val="22"/>
        </w:rPr>
        <w:t>.</w:t>
      </w:r>
    </w:p>
    <w:p w:rsidR="001D38CA" w:rsidRPr="001D38CA" w:rsidRDefault="001D38CA" w:rsidP="001D38CA">
      <w:pPr>
        <w:pStyle w:val="ListParagraph"/>
        <w:rPr>
          <w:b/>
          <w:sz w:val="22"/>
          <w:szCs w:val="22"/>
        </w:rPr>
      </w:pPr>
    </w:p>
    <w:p w:rsidR="001D38CA" w:rsidRPr="001D38CA" w:rsidRDefault="001D38CA" w:rsidP="001D38CA">
      <w:pPr>
        <w:pStyle w:val="ListParagraph"/>
        <w:rPr>
          <w:b/>
          <w:sz w:val="22"/>
          <w:szCs w:val="22"/>
        </w:rPr>
      </w:pPr>
    </w:p>
    <w:p w:rsidR="001B02EA" w:rsidRPr="001D38CA" w:rsidRDefault="001B02EA" w:rsidP="001D38CA">
      <w:pPr>
        <w:rPr>
          <w:b/>
          <w:sz w:val="22"/>
          <w:szCs w:val="22"/>
        </w:rPr>
      </w:pPr>
      <w:r w:rsidRPr="001D38CA">
        <w:rPr>
          <w:b/>
          <w:sz w:val="22"/>
          <w:szCs w:val="22"/>
        </w:rPr>
        <w:lastRenderedPageBreak/>
        <w:t>Q.7b Reasons for responses to Q.7a</w:t>
      </w:r>
    </w:p>
    <w:p w:rsidR="002C7FA2" w:rsidRDefault="002C7FA2" w:rsidP="0042076E">
      <w:pPr>
        <w:rPr>
          <w:sz w:val="22"/>
          <w:szCs w:val="22"/>
        </w:rPr>
      </w:pPr>
      <w:r>
        <w:rPr>
          <w:sz w:val="22"/>
          <w:szCs w:val="22"/>
        </w:rPr>
        <w:t>Respondents were asked to comment on their answers to the above statements/questions – the following key themes emerged from the recorded answers.</w:t>
      </w:r>
    </w:p>
    <w:p w:rsidR="00026A5C" w:rsidRPr="00026A5C" w:rsidRDefault="00026A5C" w:rsidP="0042076E">
      <w:pPr>
        <w:rPr>
          <w:b/>
          <w:sz w:val="22"/>
          <w:szCs w:val="22"/>
        </w:rPr>
      </w:pPr>
      <w:r w:rsidRPr="00026A5C">
        <w:rPr>
          <w:b/>
          <w:sz w:val="22"/>
          <w:szCs w:val="22"/>
        </w:rPr>
        <w:t>Table 8</w:t>
      </w:r>
    </w:p>
    <w:tbl>
      <w:tblPr>
        <w:tblStyle w:val="TableGrid"/>
        <w:tblW w:w="0" w:type="auto"/>
        <w:tblInd w:w="-34" w:type="dxa"/>
        <w:tblLook w:val="04A0" w:firstRow="1" w:lastRow="0" w:firstColumn="1" w:lastColumn="0" w:noHBand="0" w:noVBand="1"/>
      </w:tblPr>
      <w:tblGrid>
        <w:gridCol w:w="3686"/>
        <w:gridCol w:w="5590"/>
      </w:tblGrid>
      <w:tr w:rsidR="00AB7F98" w:rsidRPr="00AB7F98" w:rsidTr="00AB7F98">
        <w:tc>
          <w:tcPr>
            <w:tcW w:w="3686" w:type="dxa"/>
            <w:shd w:val="clear" w:color="auto" w:fill="477CBF"/>
          </w:tcPr>
          <w:p w:rsidR="002C7FA2" w:rsidRPr="00AB7F98" w:rsidRDefault="002C7FA2" w:rsidP="00FA7531">
            <w:pPr>
              <w:pStyle w:val="ListParagraph"/>
              <w:ind w:left="0"/>
              <w:rPr>
                <w:b/>
                <w:color w:val="FFFFFF" w:themeColor="background1"/>
                <w:sz w:val="22"/>
                <w:szCs w:val="22"/>
              </w:rPr>
            </w:pPr>
            <w:r w:rsidRPr="00AB7F98">
              <w:rPr>
                <w:b/>
                <w:color w:val="FFFFFF" w:themeColor="background1"/>
                <w:sz w:val="22"/>
                <w:szCs w:val="22"/>
              </w:rPr>
              <w:t>Key theme</w:t>
            </w:r>
          </w:p>
        </w:tc>
        <w:tc>
          <w:tcPr>
            <w:tcW w:w="5590" w:type="dxa"/>
            <w:shd w:val="clear" w:color="auto" w:fill="477CBF"/>
          </w:tcPr>
          <w:p w:rsidR="002C7FA2" w:rsidRPr="00AB7F98" w:rsidRDefault="00010AF7" w:rsidP="00FA7531">
            <w:pPr>
              <w:pStyle w:val="ListParagraph"/>
              <w:ind w:left="0"/>
              <w:rPr>
                <w:b/>
                <w:color w:val="FFFFFF" w:themeColor="background1"/>
                <w:sz w:val="22"/>
                <w:szCs w:val="22"/>
              </w:rPr>
            </w:pPr>
            <w:r w:rsidRPr="00AB7F98">
              <w:rPr>
                <w:b/>
                <w:color w:val="FFFFFF" w:themeColor="background1"/>
                <w:sz w:val="22"/>
                <w:szCs w:val="22"/>
              </w:rPr>
              <w:t>Public/carers/friends/relatives</w:t>
            </w:r>
          </w:p>
        </w:tc>
      </w:tr>
      <w:tr w:rsidR="002C7FA2" w:rsidTr="00026A5C">
        <w:tc>
          <w:tcPr>
            <w:tcW w:w="3686" w:type="dxa"/>
          </w:tcPr>
          <w:p w:rsidR="002C7FA2" w:rsidRPr="00026A5C" w:rsidRDefault="002C7FA2" w:rsidP="00FA7531">
            <w:pPr>
              <w:pStyle w:val="ListParagraph"/>
              <w:ind w:left="0"/>
              <w:rPr>
                <w:sz w:val="20"/>
                <w:szCs w:val="20"/>
              </w:rPr>
            </w:pPr>
            <w:r w:rsidRPr="00026A5C">
              <w:rPr>
                <w:sz w:val="20"/>
                <w:szCs w:val="20"/>
              </w:rPr>
              <w:t>Broad support for the proposed service</w:t>
            </w:r>
          </w:p>
        </w:tc>
        <w:tc>
          <w:tcPr>
            <w:tcW w:w="5590" w:type="dxa"/>
          </w:tcPr>
          <w:p w:rsidR="002C7FA2" w:rsidRPr="00026A5C" w:rsidRDefault="002C7FA2" w:rsidP="002C7FA2">
            <w:pPr>
              <w:pStyle w:val="ListParagraph"/>
              <w:numPr>
                <w:ilvl w:val="0"/>
                <w:numId w:val="15"/>
              </w:numPr>
              <w:rPr>
                <w:sz w:val="20"/>
                <w:szCs w:val="20"/>
              </w:rPr>
            </w:pPr>
            <w:r w:rsidRPr="00026A5C">
              <w:rPr>
                <w:sz w:val="20"/>
                <w:szCs w:val="20"/>
              </w:rPr>
              <w:t xml:space="preserve">There was recognition of the benefits that a preventative service might offer to the individual and more widely </w:t>
            </w:r>
            <w:r w:rsidR="00AB7F98" w:rsidRPr="00026A5C">
              <w:rPr>
                <w:sz w:val="20"/>
                <w:szCs w:val="20"/>
              </w:rPr>
              <w:t>i.e.</w:t>
            </w:r>
            <w:r w:rsidRPr="00026A5C">
              <w:rPr>
                <w:sz w:val="20"/>
                <w:szCs w:val="20"/>
              </w:rPr>
              <w:t xml:space="preserve"> NHS costs</w:t>
            </w:r>
          </w:p>
        </w:tc>
      </w:tr>
      <w:tr w:rsidR="002C7FA2" w:rsidTr="00026A5C">
        <w:tc>
          <w:tcPr>
            <w:tcW w:w="3686" w:type="dxa"/>
          </w:tcPr>
          <w:p w:rsidR="002C7FA2" w:rsidRPr="00026A5C" w:rsidRDefault="0081112F" w:rsidP="0081112F">
            <w:pPr>
              <w:pStyle w:val="ListParagraph"/>
              <w:ind w:left="0"/>
              <w:rPr>
                <w:sz w:val="20"/>
                <w:szCs w:val="20"/>
              </w:rPr>
            </w:pPr>
            <w:r w:rsidRPr="00026A5C">
              <w:rPr>
                <w:sz w:val="20"/>
                <w:szCs w:val="20"/>
              </w:rPr>
              <w:t xml:space="preserve">Age criteria/Targeting of proposed service </w:t>
            </w:r>
          </w:p>
        </w:tc>
        <w:tc>
          <w:tcPr>
            <w:tcW w:w="5590" w:type="dxa"/>
          </w:tcPr>
          <w:p w:rsidR="0081112F" w:rsidRPr="00026A5C" w:rsidRDefault="0081112F" w:rsidP="0081112F">
            <w:pPr>
              <w:pStyle w:val="ListParagraph"/>
              <w:numPr>
                <w:ilvl w:val="0"/>
                <w:numId w:val="15"/>
              </w:numPr>
              <w:rPr>
                <w:sz w:val="20"/>
                <w:szCs w:val="20"/>
              </w:rPr>
            </w:pPr>
            <w:r w:rsidRPr="00026A5C">
              <w:rPr>
                <w:sz w:val="20"/>
                <w:szCs w:val="20"/>
              </w:rPr>
              <w:t>The age criteria of the proposed Move Improve service gained the lowest agreement scores among all respondents</w:t>
            </w:r>
          </w:p>
          <w:p w:rsidR="002C7FA2" w:rsidRPr="00026A5C" w:rsidRDefault="0081112F" w:rsidP="0081112F">
            <w:pPr>
              <w:pStyle w:val="ListParagraph"/>
              <w:numPr>
                <w:ilvl w:val="0"/>
                <w:numId w:val="15"/>
              </w:numPr>
              <w:rPr>
                <w:sz w:val="20"/>
                <w:szCs w:val="20"/>
              </w:rPr>
            </w:pPr>
            <w:r w:rsidRPr="00026A5C">
              <w:rPr>
                <w:sz w:val="20"/>
                <w:szCs w:val="20"/>
              </w:rPr>
              <w:t xml:space="preserve"> Fifty was seen by some as too young </w:t>
            </w:r>
          </w:p>
          <w:p w:rsidR="0081112F" w:rsidRPr="00026A5C" w:rsidRDefault="0081112F" w:rsidP="0081112F">
            <w:pPr>
              <w:pStyle w:val="ListParagraph"/>
              <w:numPr>
                <w:ilvl w:val="0"/>
                <w:numId w:val="15"/>
              </w:numPr>
              <w:rPr>
                <w:sz w:val="20"/>
                <w:szCs w:val="20"/>
              </w:rPr>
            </w:pPr>
            <w:r w:rsidRPr="00026A5C">
              <w:rPr>
                <w:sz w:val="20"/>
                <w:szCs w:val="20"/>
              </w:rPr>
              <w:t>Age was seen by some as irrelevant – if service was needed (because of medical condi</w:t>
            </w:r>
            <w:r w:rsidR="00DC1403">
              <w:rPr>
                <w:sz w:val="20"/>
                <w:szCs w:val="20"/>
              </w:rPr>
              <w:t>tion) then age was not relevant</w:t>
            </w:r>
          </w:p>
        </w:tc>
      </w:tr>
      <w:tr w:rsidR="002C7FA2" w:rsidTr="00026A5C">
        <w:tc>
          <w:tcPr>
            <w:tcW w:w="3686" w:type="dxa"/>
          </w:tcPr>
          <w:p w:rsidR="002C7FA2" w:rsidRPr="00026A5C" w:rsidRDefault="0081112F" w:rsidP="00FA7531">
            <w:pPr>
              <w:pStyle w:val="ListParagraph"/>
              <w:ind w:left="0"/>
              <w:rPr>
                <w:sz w:val="20"/>
                <w:szCs w:val="20"/>
              </w:rPr>
            </w:pPr>
            <w:r w:rsidRPr="00026A5C">
              <w:rPr>
                <w:sz w:val="20"/>
                <w:szCs w:val="20"/>
              </w:rPr>
              <w:t>More information required</w:t>
            </w:r>
            <w:r w:rsidR="00010AF7" w:rsidRPr="00026A5C">
              <w:rPr>
                <w:sz w:val="20"/>
                <w:szCs w:val="20"/>
              </w:rPr>
              <w:t xml:space="preserve"> about proposed service</w:t>
            </w:r>
          </w:p>
        </w:tc>
        <w:tc>
          <w:tcPr>
            <w:tcW w:w="5590" w:type="dxa"/>
          </w:tcPr>
          <w:p w:rsidR="002C7FA2" w:rsidRPr="00026A5C" w:rsidRDefault="00010AF7" w:rsidP="0081112F">
            <w:pPr>
              <w:pStyle w:val="ListParagraph"/>
              <w:numPr>
                <w:ilvl w:val="0"/>
                <w:numId w:val="16"/>
              </w:numPr>
              <w:rPr>
                <w:sz w:val="20"/>
                <w:szCs w:val="20"/>
              </w:rPr>
            </w:pPr>
            <w:r w:rsidRPr="00026A5C">
              <w:rPr>
                <w:sz w:val="20"/>
                <w:szCs w:val="20"/>
              </w:rPr>
              <w:t xml:space="preserve">Details about costs/accessibility etc. required to comment fully </w:t>
            </w:r>
          </w:p>
        </w:tc>
      </w:tr>
      <w:tr w:rsidR="00010AF7" w:rsidTr="00026A5C">
        <w:tc>
          <w:tcPr>
            <w:tcW w:w="3686" w:type="dxa"/>
          </w:tcPr>
          <w:p w:rsidR="00010AF7" w:rsidRPr="00026A5C" w:rsidRDefault="00010AF7" w:rsidP="00FA7531">
            <w:pPr>
              <w:pStyle w:val="ListParagraph"/>
              <w:ind w:left="0"/>
              <w:rPr>
                <w:sz w:val="20"/>
                <w:szCs w:val="20"/>
              </w:rPr>
            </w:pPr>
            <w:r w:rsidRPr="00026A5C">
              <w:rPr>
                <w:sz w:val="20"/>
                <w:szCs w:val="20"/>
              </w:rPr>
              <w:t xml:space="preserve">Wider </w:t>
            </w:r>
            <w:r w:rsidR="00DC1403">
              <w:rPr>
                <w:sz w:val="20"/>
                <w:szCs w:val="20"/>
              </w:rPr>
              <w:t>education and training required</w:t>
            </w:r>
          </w:p>
        </w:tc>
        <w:tc>
          <w:tcPr>
            <w:tcW w:w="5590" w:type="dxa"/>
          </w:tcPr>
          <w:p w:rsidR="00010AF7" w:rsidRPr="00026A5C" w:rsidRDefault="00010AF7" w:rsidP="009B183B">
            <w:pPr>
              <w:pStyle w:val="ListParagraph"/>
              <w:numPr>
                <w:ilvl w:val="0"/>
                <w:numId w:val="16"/>
              </w:numPr>
              <w:rPr>
                <w:sz w:val="20"/>
                <w:szCs w:val="20"/>
              </w:rPr>
            </w:pPr>
            <w:r w:rsidRPr="00026A5C">
              <w:rPr>
                <w:sz w:val="20"/>
                <w:szCs w:val="20"/>
              </w:rPr>
              <w:t xml:space="preserve">Some comments indicated a desire to see education about falls prevention </w:t>
            </w:r>
            <w:r w:rsidR="009B183B" w:rsidRPr="00026A5C">
              <w:rPr>
                <w:sz w:val="20"/>
                <w:szCs w:val="20"/>
              </w:rPr>
              <w:t>more widely promoted in addition to the proposed Move Improve service</w:t>
            </w:r>
          </w:p>
        </w:tc>
      </w:tr>
    </w:tbl>
    <w:p w:rsidR="001D38CA" w:rsidRDefault="001D38CA" w:rsidP="001D38CA">
      <w:pPr>
        <w:rPr>
          <w:b/>
          <w:sz w:val="22"/>
          <w:szCs w:val="22"/>
        </w:rPr>
      </w:pPr>
    </w:p>
    <w:p w:rsidR="001D38CA" w:rsidRPr="001D38CA" w:rsidRDefault="001D38CA" w:rsidP="001D38CA">
      <w:pPr>
        <w:rPr>
          <w:b/>
          <w:sz w:val="22"/>
          <w:szCs w:val="22"/>
        </w:rPr>
      </w:pPr>
      <w:r w:rsidRPr="001D38CA">
        <w:rPr>
          <w:b/>
          <w:sz w:val="22"/>
          <w:szCs w:val="22"/>
        </w:rPr>
        <w:t>Table 9</w:t>
      </w:r>
    </w:p>
    <w:tbl>
      <w:tblPr>
        <w:tblStyle w:val="TableGrid"/>
        <w:tblW w:w="0" w:type="auto"/>
        <w:tblInd w:w="-34" w:type="dxa"/>
        <w:tblLook w:val="04A0" w:firstRow="1" w:lastRow="0" w:firstColumn="1" w:lastColumn="0" w:noHBand="0" w:noVBand="1"/>
      </w:tblPr>
      <w:tblGrid>
        <w:gridCol w:w="3686"/>
        <w:gridCol w:w="5590"/>
      </w:tblGrid>
      <w:tr w:rsidR="00AB7F98" w:rsidRPr="00AB7F98" w:rsidTr="00AB7F98">
        <w:tc>
          <w:tcPr>
            <w:tcW w:w="3686" w:type="dxa"/>
            <w:shd w:val="clear" w:color="auto" w:fill="477CBF"/>
          </w:tcPr>
          <w:p w:rsidR="00991BD1" w:rsidRPr="00AB7F98" w:rsidRDefault="00991BD1" w:rsidP="00723BBF">
            <w:pPr>
              <w:pStyle w:val="ListParagraph"/>
              <w:ind w:left="0"/>
              <w:rPr>
                <w:b/>
                <w:color w:val="FFFFFF" w:themeColor="background1"/>
                <w:sz w:val="22"/>
                <w:szCs w:val="22"/>
              </w:rPr>
            </w:pPr>
            <w:r w:rsidRPr="00AB7F98">
              <w:rPr>
                <w:b/>
                <w:color w:val="FFFFFF" w:themeColor="background1"/>
                <w:sz w:val="22"/>
                <w:szCs w:val="22"/>
              </w:rPr>
              <w:t>Key theme</w:t>
            </w:r>
          </w:p>
        </w:tc>
        <w:tc>
          <w:tcPr>
            <w:tcW w:w="5590" w:type="dxa"/>
            <w:shd w:val="clear" w:color="auto" w:fill="477CBF"/>
          </w:tcPr>
          <w:p w:rsidR="00991BD1" w:rsidRPr="00AB7F98" w:rsidRDefault="00991BD1" w:rsidP="00723BBF">
            <w:pPr>
              <w:pStyle w:val="ListParagraph"/>
              <w:ind w:left="0"/>
              <w:rPr>
                <w:b/>
                <w:color w:val="FFFFFF" w:themeColor="background1"/>
                <w:sz w:val="22"/>
                <w:szCs w:val="22"/>
              </w:rPr>
            </w:pPr>
            <w:r w:rsidRPr="00AB7F98">
              <w:rPr>
                <w:b/>
                <w:color w:val="FFFFFF" w:themeColor="background1"/>
                <w:sz w:val="22"/>
                <w:szCs w:val="22"/>
              </w:rPr>
              <w:t xml:space="preserve">Stakeholders </w:t>
            </w:r>
          </w:p>
        </w:tc>
      </w:tr>
      <w:tr w:rsidR="00991BD1" w:rsidTr="00026A5C">
        <w:tc>
          <w:tcPr>
            <w:tcW w:w="3686" w:type="dxa"/>
          </w:tcPr>
          <w:p w:rsidR="00991BD1" w:rsidRPr="00026A5C" w:rsidRDefault="009D6CB1" w:rsidP="00723BBF">
            <w:pPr>
              <w:pStyle w:val="ListParagraph"/>
              <w:ind w:left="0"/>
              <w:rPr>
                <w:sz w:val="20"/>
                <w:szCs w:val="20"/>
              </w:rPr>
            </w:pPr>
            <w:r w:rsidRPr="00026A5C">
              <w:rPr>
                <w:sz w:val="20"/>
                <w:szCs w:val="20"/>
              </w:rPr>
              <w:t>Age criteria/Targeting of proposed service</w:t>
            </w:r>
          </w:p>
        </w:tc>
        <w:tc>
          <w:tcPr>
            <w:tcW w:w="5590" w:type="dxa"/>
          </w:tcPr>
          <w:p w:rsidR="00991BD1" w:rsidRPr="00026A5C" w:rsidRDefault="009D6CB1" w:rsidP="00723BBF">
            <w:pPr>
              <w:pStyle w:val="ListParagraph"/>
              <w:numPr>
                <w:ilvl w:val="0"/>
                <w:numId w:val="15"/>
              </w:numPr>
              <w:rPr>
                <w:sz w:val="20"/>
                <w:szCs w:val="20"/>
              </w:rPr>
            </w:pPr>
            <w:r w:rsidRPr="00026A5C">
              <w:rPr>
                <w:sz w:val="20"/>
                <w:szCs w:val="20"/>
              </w:rPr>
              <w:t>Age criteria questioned as either too young or not relevant if medical condition present</w:t>
            </w:r>
          </w:p>
          <w:p w:rsidR="009D6CB1" w:rsidRPr="00026A5C" w:rsidRDefault="009D6CB1" w:rsidP="00723BBF">
            <w:pPr>
              <w:pStyle w:val="ListParagraph"/>
              <w:numPr>
                <w:ilvl w:val="0"/>
                <w:numId w:val="15"/>
              </w:numPr>
              <w:rPr>
                <w:sz w:val="20"/>
                <w:szCs w:val="20"/>
              </w:rPr>
            </w:pPr>
            <w:r w:rsidRPr="00026A5C">
              <w:rPr>
                <w:sz w:val="20"/>
                <w:szCs w:val="20"/>
              </w:rPr>
              <w:t>Need to be clear on which medical conditions meet the criteria for referral</w:t>
            </w:r>
          </w:p>
        </w:tc>
      </w:tr>
      <w:tr w:rsidR="00991BD1" w:rsidTr="00026A5C">
        <w:tc>
          <w:tcPr>
            <w:tcW w:w="3686" w:type="dxa"/>
          </w:tcPr>
          <w:p w:rsidR="00991BD1" w:rsidRPr="00026A5C" w:rsidRDefault="00E407C8" w:rsidP="00723BBF">
            <w:pPr>
              <w:pStyle w:val="ListParagraph"/>
              <w:ind w:left="0"/>
              <w:rPr>
                <w:sz w:val="20"/>
                <w:szCs w:val="20"/>
              </w:rPr>
            </w:pPr>
            <w:r w:rsidRPr="00026A5C">
              <w:rPr>
                <w:sz w:val="20"/>
                <w:szCs w:val="20"/>
              </w:rPr>
              <w:t>Support for proposed service</w:t>
            </w:r>
          </w:p>
        </w:tc>
        <w:tc>
          <w:tcPr>
            <w:tcW w:w="5590" w:type="dxa"/>
          </w:tcPr>
          <w:p w:rsidR="00991BD1" w:rsidRPr="00026A5C" w:rsidRDefault="00E407C8" w:rsidP="00723BBF">
            <w:pPr>
              <w:pStyle w:val="ListParagraph"/>
              <w:numPr>
                <w:ilvl w:val="0"/>
                <w:numId w:val="15"/>
              </w:numPr>
              <w:rPr>
                <w:sz w:val="20"/>
                <w:szCs w:val="20"/>
              </w:rPr>
            </w:pPr>
            <w:r w:rsidRPr="00026A5C">
              <w:rPr>
                <w:sz w:val="20"/>
                <w:szCs w:val="20"/>
              </w:rPr>
              <w:t>Broad support and early intervention welcomed</w:t>
            </w:r>
          </w:p>
        </w:tc>
      </w:tr>
    </w:tbl>
    <w:p w:rsidR="00991BD1" w:rsidRPr="004146A9" w:rsidRDefault="00991BD1" w:rsidP="00FA7531">
      <w:pPr>
        <w:pStyle w:val="ListParagraph"/>
        <w:rPr>
          <w:sz w:val="22"/>
          <w:szCs w:val="22"/>
        </w:rPr>
      </w:pPr>
    </w:p>
    <w:p w:rsidR="00700BD7" w:rsidRPr="00026A5C" w:rsidRDefault="00026A5C" w:rsidP="00F74A87">
      <w:pPr>
        <w:rPr>
          <w:b/>
          <w:sz w:val="22"/>
          <w:szCs w:val="22"/>
        </w:rPr>
      </w:pPr>
      <w:r w:rsidRPr="00026A5C">
        <w:rPr>
          <w:b/>
          <w:sz w:val="22"/>
          <w:szCs w:val="22"/>
        </w:rPr>
        <w:t xml:space="preserve">Q.8 </w:t>
      </w:r>
      <w:r w:rsidR="006E0D76" w:rsidRPr="00026A5C">
        <w:rPr>
          <w:b/>
          <w:sz w:val="22"/>
          <w:szCs w:val="22"/>
        </w:rPr>
        <w:t xml:space="preserve">Venues suitable to deliver the </w:t>
      </w:r>
      <w:r>
        <w:rPr>
          <w:b/>
          <w:sz w:val="22"/>
          <w:szCs w:val="22"/>
        </w:rPr>
        <w:t xml:space="preserve">proposed </w:t>
      </w:r>
      <w:r w:rsidR="006E0D76" w:rsidRPr="00026A5C">
        <w:rPr>
          <w:b/>
          <w:sz w:val="22"/>
          <w:szCs w:val="22"/>
        </w:rPr>
        <w:t>Move Improve Service</w:t>
      </w:r>
    </w:p>
    <w:p w:rsidR="006F01CE" w:rsidRPr="006F01CE" w:rsidRDefault="006F01CE" w:rsidP="00F74A87">
      <w:pPr>
        <w:rPr>
          <w:sz w:val="22"/>
          <w:szCs w:val="22"/>
        </w:rPr>
      </w:pPr>
      <w:r>
        <w:rPr>
          <w:sz w:val="22"/>
          <w:szCs w:val="22"/>
        </w:rPr>
        <w:t>The</w:t>
      </w:r>
      <w:r w:rsidR="0005711F">
        <w:rPr>
          <w:sz w:val="22"/>
          <w:szCs w:val="22"/>
        </w:rPr>
        <w:t xml:space="preserve"> graph</w:t>
      </w:r>
      <w:r>
        <w:rPr>
          <w:sz w:val="22"/>
          <w:szCs w:val="22"/>
        </w:rPr>
        <w:t xml:space="preserve"> below shows the proportion of respondents who think each venue is suitable to deliver the </w:t>
      </w:r>
      <w:r w:rsidR="0005711F">
        <w:rPr>
          <w:sz w:val="22"/>
          <w:szCs w:val="22"/>
        </w:rPr>
        <w:t xml:space="preserve">proposed </w:t>
      </w:r>
      <w:r>
        <w:rPr>
          <w:sz w:val="22"/>
          <w:szCs w:val="22"/>
        </w:rPr>
        <w:t xml:space="preserve">new </w:t>
      </w:r>
      <w:r w:rsidR="0005711F">
        <w:rPr>
          <w:sz w:val="22"/>
          <w:szCs w:val="22"/>
        </w:rPr>
        <w:t xml:space="preserve">Move Improve </w:t>
      </w:r>
      <w:r>
        <w:rPr>
          <w:sz w:val="22"/>
          <w:szCs w:val="22"/>
        </w:rPr>
        <w:t>service</w:t>
      </w:r>
      <w:r w:rsidR="00DC1403">
        <w:rPr>
          <w:sz w:val="22"/>
          <w:szCs w:val="22"/>
        </w:rPr>
        <w:t>.</w:t>
      </w: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6E0D76" w:rsidRDefault="001D38CA" w:rsidP="00F74A87">
      <w:pPr>
        <w:rPr>
          <w:b/>
          <w:sz w:val="22"/>
          <w:szCs w:val="22"/>
        </w:rPr>
      </w:pPr>
      <w:r>
        <w:rPr>
          <w:noProof/>
          <w:lang w:eastAsia="en-GB"/>
        </w:rPr>
        <w:lastRenderedPageBreak/>
        <w:drawing>
          <wp:anchor distT="0" distB="0" distL="114300" distR="114300" simplePos="0" relativeHeight="251665408" behindDoc="1" locked="0" layoutInCell="1" allowOverlap="1" wp14:anchorId="681C7A9E" wp14:editId="2798E12F">
            <wp:simplePos x="0" y="0"/>
            <wp:positionH relativeFrom="column">
              <wp:posOffset>353060</wp:posOffset>
            </wp:positionH>
            <wp:positionV relativeFrom="paragraph">
              <wp:posOffset>403225</wp:posOffset>
            </wp:positionV>
            <wp:extent cx="4899660" cy="2734310"/>
            <wp:effectExtent l="0" t="0" r="0" b="0"/>
            <wp:wrapTight wrapText="bothSides">
              <wp:wrapPolygon edited="0">
                <wp:start x="756" y="301"/>
                <wp:lineTo x="168" y="602"/>
                <wp:lineTo x="252" y="3010"/>
                <wp:lineTo x="10750" y="3010"/>
                <wp:lineTo x="336" y="3612"/>
                <wp:lineTo x="168" y="4214"/>
                <wp:lineTo x="756" y="5418"/>
                <wp:lineTo x="168" y="5418"/>
                <wp:lineTo x="252" y="7675"/>
                <wp:lineTo x="1764" y="8277"/>
                <wp:lineTo x="84" y="8728"/>
                <wp:lineTo x="168" y="12490"/>
                <wp:lineTo x="10750" y="12641"/>
                <wp:lineTo x="840" y="13243"/>
                <wp:lineTo x="168" y="13544"/>
                <wp:lineTo x="504" y="15049"/>
                <wp:lineTo x="504" y="16253"/>
                <wp:lineTo x="3443" y="17457"/>
                <wp:lineTo x="5795" y="18059"/>
                <wp:lineTo x="8314" y="19864"/>
                <wp:lineTo x="8314" y="20466"/>
                <wp:lineTo x="13941" y="20466"/>
                <wp:lineTo x="13941" y="19864"/>
                <wp:lineTo x="17132" y="18209"/>
                <wp:lineTo x="17132" y="17457"/>
                <wp:lineTo x="20240" y="17005"/>
                <wp:lineTo x="19988" y="16102"/>
                <wp:lineTo x="1428" y="15049"/>
                <wp:lineTo x="10666" y="12641"/>
                <wp:lineTo x="1428" y="10233"/>
                <wp:lineTo x="10666" y="7825"/>
                <wp:lineTo x="1428" y="5418"/>
                <wp:lineTo x="10666" y="3010"/>
                <wp:lineTo x="1428" y="301"/>
                <wp:lineTo x="756" y="301"/>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26A5C">
        <w:rPr>
          <w:b/>
          <w:sz w:val="22"/>
          <w:szCs w:val="22"/>
        </w:rPr>
        <w:t xml:space="preserve">Figure 3 </w:t>
      </w:r>
      <w:r w:rsidR="006F01CE" w:rsidRPr="0005711F">
        <w:rPr>
          <w:b/>
          <w:sz w:val="22"/>
          <w:szCs w:val="22"/>
        </w:rPr>
        <w:t>Proportion of respondents who think each venue suitable for Move Improve service delivery</w:t>
      </w:r>
    </w:p>
    <w:p w:rsidR="00026A5C" w:rsidRDefault="00026A5C"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1D38CA" w:rsidRDefault="001D38CA" w:rsidP="00F74A87">
      <w:pPr>
        <w:rPr>
          <w:b/>
          <w:sz w:val="22"/>
          <w:szCs w:val="22"/>
        </w:rPr>
      </w:pPr>
    </w:p>
    <w:p w:rsidR="00DC1403" w:rsidRDefault="00DC1403" w:rsidP="00026A5C">
      <w:pPr>
        <w:rPr>
          <w:sz w:val="22"/>
          <w:szCs w:val="22"/>
        </w:rPr>
      </w:pPr>
    </w:p>
    <w:p w:rsidR="00026A5C" w:rsidRDefault="00F61CAE" w:rsidP="00026A5C">
      <w:pPr>
        <w:rPr>
          <w:sz w:val="22"/>
          <w:szCs w:val="22"/>
        </w:rPr>
      </w:pPr>
      <w:r>
        <w:rPr>
          <w:sz w:val="22"/>
          <w:szCs w:val="22"/>
        </w:rPr>
        <w:t>For both sets of respondents, t</w:t>
      </w:r>
      <w:r w:rsidR="006F01CE">
        <w:rPr>
          <w:sz w:val="22"/>
          <w:szCs w:val="22"/>
        </w:rPr>
        <w:t>he most popular v</w:t>
      </w:r>
      <w:r>
        <w:rPr>
          <w:sz w:val="22"/>
          <w:szCs w:val="22"/>
        </w:rPr>
        <w:t>enue was a ‘community facility’.  For the public,</w:t>
      </w:r>
      <w:r w:rsidR="006F01CE">
        <w:rPr>
          <w:sz w:val="22"/>
          <w:szCs w:val="22"/>
        </w:rPr>
        <w:t xml:space="preserve"> ‘own home’, ‘sheltered housing’ and ‘leisure centres’ were </w:t>
      </w:r>
      <w:r>
        <w:rPr>
          <w:sz w:val="22"/>
          <w:szCs w:val="22"/>
        </w:rPr>
        <w:t xml:space="preserve">the next more </w:t>
      </w:r>
      <w:r w:rsidR="006F01CE">
        <w:rPr>
          <w:sz w:val="22"/>
          <w:szCs w:val="22"/>
        </w:rPr>
        <w:t xml:space="preserve">suitable </w:t>
      </w:r>
      <w:r>
        <w:rPr>
          <w:sz w:val="22"/>
          <w:szCs w:val="22"/>
        </w:rPr>
        <w:t xml:space="preserve">venues. </w:t>
      </w:r>
      <w:r w:rsidR="00026A5C">
        <w:rPr>
          <w:sz w:val="22"/>
          <w:szCs w:val="22"/>
        </w:rPr>
        <w:t>Stakeholders followed a similar pattern in their venue preferences</w:t>
      </w:r>
      <w:r>
        <w:rPr>
          <w:sz w:val="22"/>
          <w:szCs w:val="22"/>
        </w:rPr>
        <w:t>, although s</w:t>
      </w:r>
      <w:r w:rsidR="00026A5C">
        <w:rPr>
          <w:sz w:val="22"/>
          <w:szCs w:val="22"/>
        </w:rPr>
        <w:t>lightly higher proportions of them thought each venue suitable</w:t>
      </w:r>
      <w:r>
        <w:rPr>
          <w:sz w:val="22"/>
          <w:szCs w:val="22"/>
        </w:rPr>
        <w:t xml:space="preserve"> and ‘sheltered housing’ was very slightly higher than ‘own home’</w:t>
      </w:r>
      <w:r w:rsidR="00026A5C">
        <w:rPr>
          <w:sz w:val="22"/>
          <w:szCs w:val="22"/>
        </w:rPr>
        <w:t>.</w:t>
      </w:r>
    </w:p>
    <w:p w:rsidR="006F01CE" w:rsidRPr="00026A5C" w:rsidRDefault="00026A5C" w:rsidP="00F74A87">
      <w:pPr>
        <w:rPr>
          <w:b/>
          <w:sz w:val="22"/>
          <w:szCs w:val="22"/>
        </w:rPr>
      </w:pPr>
      <w:r w:rsidRPr="00026A5C">
        <w:rPr>
          <w:b/>
          <w:sz w:val="22"/>
          <w:szCs w:val="22"/>
        </w:rPr>
        <w:t xml:space="preserve">Q.9 </w:t>
      </w:r>
      <w:r w:rsidR="00520C01" w:rsidRPr="00026A5C">
        <w:rPr>
          <w:b/>
          <w:sz w:val="22"/>
          <w:szCs w:val="22"/>
        </w:rPr>
        <w:t>T</w:t>
      </w:r>
      <w:r w:rsidR="00137349" w:rsidRPr="00026A5C">
        <w:rPr>
          <w:b/>
          <w:sz w:val="22"/>
          <w:szCs w:val="22"/>
        </w:rPr>
        <w:t xml:space="preserve">ime of day for </w:t>
      </w:r>
      <w:r w:rsidR="00520C01" w:rsidRPr="00026A5C">
        <w:rPr>
          <w:b/>
          <w:sz w:val="22"/>
          <w:szCs w:val="22"/>
        </w:rPr>
        <w:t xml:space="preserve">proposed Move Improve </w:t>
      </w:r>
      <w:r w:rsidR="00137349" w:rsidRPr="00026A5C">
        <w:rPr>
          <w:b/>
          <w:sz w:val="22"/>
          <w:szCs w:val="22"/>
        </w:rPr>
        <w:t>service delivery</w:t>
      </w:r>
    </w:p>
    <w:p w:rsidR="00520C01" w:rsidRPr="00520C01" w:rsidRDefault="00520C01" w:rsidP="00F74A87">
      <w:pPr>
        <w:rPr>
          <w:sz w:val="22"/>
          <w:szCs w:val="22"/>
        </w:rPr>
      </w:pPr>
      <w:r>
        <w:rPr>
          <w:sz w:val="22"/>
          <w:szCs w:val="22"/>
        </w:rPr>
        <w:t xml:space="preserve">Respondents were asked what time of day they would like the proposed Move Improve service to be delivered. The following </w:t>
      </w:r>
      <w:r w:rsidR="00E72D71">
        <w:rPr>
          <w:sz w:val="22"/>
          <w:szCs w:val="22"/>
        </w:rPr>
        <w:t>graphs</w:t>
      </w:r>
      <w:r>
        <w:rPr>
          <w:sz w:val="22"/>
          <w:szCs w:val="22"/>
        </w:rPr>
        <w:t xml:space="preserve"> show that </w:t>
      </w:r>
      <w:r w:rsidR="00E72D71">
        <w:rPr>
          <w:sz w:val="22"/>
          <w:szCs w:val="22"/>
        </w:rPr>
        <w:t>the most popular time for delivery for both respondent categories was day time. However, both groups also indicated that evening and weekend service delivery may be options to consider. Slightly fewer respondents from the public/carers/friends/relatives category wanted to see evening and weekend delivery of the proposed Move Improve service.</w:t>
      </w:r>
    </w:p>
    <w:p w:rsidR="00520C01" w:rsidRDefault="00520C01" w:rsidP="00F74A87">
      <w:pPr>
        <w:rPr>
          <w:b/>
          <w:sz w:val="22"/>
          <w:szCs w:val="22"/>
        </w:rPr>
      </w:pPr>
      <w:r w:rsidRPr="00520C01">
        <w:rPr>
          <w:b/>
          <w:sz w:val="22"/>
          <w:szCs w:val="22"/>
        </w:rPr>
        <w:t xml:space="preserve">Figure </w:t>
      </w:r>
      <w:r w:rsidR="007F0A3D">
        <w:rPr>
          <w:b/>
          <w:sz w:val="22"/>
          <w:szCs w:val="22"/>
        </w:rPr>
        <w:t>4</w:t>
      </w:r>
      <w:r w:rsidRPr="00520C01">
        <w:rPr>
          <w:b/>
          <w:sz w:val="22"/>
          <w:szCs w:val="22"/>
        </w:rPr>
        <w:t xml:space="preserve"> Preferred time of day for proposed Move Improve service delivery </w:t>
      </w:r>
    </w:p>
    <w:p w:rsidR="00F61CAE" w:rsidRDefault="001D38CA" w:rsidP="00F74A87">
      <w:pPr>
        <w:rPr>
          <w:b/>
          <w:sz w:val="22"/>
          <w:szCs w:val="22"/>
        </w:rPr>
      </w:pPr>
      <w:r>
        <w:rPr>
          <w:noProof/>
          <w:lang w:eastAsia="en-GB"/>
        </w:rPr>
        <w:drawing>
          <wp:anchor distT="0" distB="0" distL="114300" distR="114300" simplePos="0" relativeHeight="251664384" behindDoc="1" locked="0" layoutInCell="1" allowOverlap="1" wp14:anchorId="26B3E558" wp14:editId="5E7234E3">
            <wp:simplePos x="0" y="0"/>
            <wp:positionH relativeFrom="column">
              <wp:posOffset>439420</wp:posOffset>
            </wp:positionH>
            <wp:positionV relativeFrom="paragraph">
              <wp:posOffset>195580</wp:posOffset>
            </wp:positionV>
            <wp:extent cx="4364355" cy="2630805"/>
            <wp:effectExtent l="0" t="0" r="0" b="0"/>
            <wp:wrapTight wrapText="bothSides">
              <wp:wrapPolygon edited="0">
                <wp:start x="849" y="313"/>
                <wp:lineTo x="189" y="626"/>
                <wp:lineTo x="283" y="3128"/>
                <wp:lineTo x="10748" y="3128"/>
                <wp:lineTo x="283" y="3910"/>
                <wp:lineTo x="283" y="4849"/>
                <wp:lineTo x="10748" y="5631"/>
                <wp:lineTo x="1131" y="5631"/>
                <wp:lineTo x="189" y="5787"/>
                <wp:lineTo x="94" y="9697"/>
                <wp:lineTo x="4337" y="10636"/>
                <wp:lineTo x="1131" y="10636"/>
                <wp:lineTo x="189" y="10792"/>
                <wp:lineTo x="189" y="15015"/>
                <wp:lineTo x="3111" y="15641"/>
                <wp:lineTo x="660" y="15797"/>
                <wp:lineTo x="566" y="17518"/>
                <wp:lineTo x="4526" y="18143"/>
                <wp:lineTo x="7920" y="20177"/>
                <wp:lineTo x="8014" y="20490"/>
                <wp:lineTo x="14331" y="20490"/>
                <wp:lineTo x="14519" y="20177"/>
                <wp:lineTo x="12634" y="18143"/>
                <wp:lineTo x="19234" y="18143"/>
                <wp:lineTo x="19139" y="17361"/>
                <wp:lineTo x="10748" y="15641"/>
                <wp:lineTo x="1603" y="13138"/>
                <wp:lineTo x="10654" y="10636"/>
                <wp:lineTo x="1603" y="8133"/>
                <wp:lineTo x="10654" y="5631"/>
                <wp:lineTo x="10654" y="3128"/>
                <wp:lineTo x="1603" y="313"/>
                <wp:lineTo x="849" y="313"/>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F61CAE" w:rsidRDefault="00F61CAE" w:rsidP="00F74A87">
      <w:pPr>
        <w:rPr>
          <w:b/>
          <w:sz w:val="22"/>
          <w:szCs w:val="22"/>
        </w:rPr>
      </w:pPr>
    </w:p>
    <w:p w:rsidR="00F61CAE" w:rsidRDefault="00F61CAE" w:rsidP="00F74A87">
      <w:pPr>
        <w:rPr>
          <w:b/>
          <w:sz w:val="22"/>
          <w:szCs w:val="22"/>
        </w:rPr>
      </w:pPr>
    </w:p>
    <w:p w:rsidR="00F61CAE" w:rsidRDefault="00F61CAE" w:rsidP="00F74A87">
      <w:pPr>
        <w:rPr>
          <w:b/>
          <w:sz w:val="22"/>
          <w:szCs w:val="22"/>
        </w:rPr>
      </w:pPr>
    </w:p>
    <w:p w:rsidR="00F61CAE" w:rsidRDefault="00F61CAE" w:rsidP="00F74A87">
      <w:pPr>
        <w:rPr>
          <w:b/>
          <w:sz w:val="22"/>
          <w:szCs w:val="22"/>
        </w:rPr>
      </w:pPr>
    </w:p>
    <w:p w:rsidR="00F61CAE" w:rsidRDefault="00F61CAE" w:rsidP="00F74A87">
      <w:pPr>
        <w:rPr>
          <w:b/>
          <w:sz w:val="22"/>
          <w:szCs w:val="22"/>
        </w:rPr>
      </w:pPr>
    </w:p>
    <w:p w:rsidR="00F61CAE" w:rsidRDefault="00F61CAE" w:rsidP="00F74A87">
      <w:pPr>
        <w:rPr>
          <w:b/>
          <w:sz w:val="22"/>
          <w:szCs w:val="22"/>
        </w:rPr>
      </w:pPr>
    </w:p>
    <w:p w:rsidR="00F61CAE" w:rsidRDefault="00F61CAE" w:rsidP="00F74A87">
      <w:pPr>
        <w:rPr>
          <w:b/>
          <w:sz w:val="22"/>
          <w:szCs w:val="22"/>
        </w:rPr>
      </w:pPr>
    </w:p>
    <w:p w:rsidR="007E5B44" w:rsidRDefault="00884561" w:rsidP="00F74A87">
      <w:pPr>
        <w:rPr>
          <w:b/>
          <w:sz w:val="22"/>
          <w:szCs w:val="22"/>
        </w:rPr>
      </w:pPr>
      <w:r w:rsidRPr="00884561">
        <w:rPr>
          <w:b/>
          <w:sz w:val="22"/>
          <w:szCs w:val="22"/>
        </w:rPr>
        <w:lastRenderedPageBreak/>
        <w:t>Stakeholder only questions</w:t>
      </w:r>
    </w:p>
    <w:p w:rsidR="00026A5C" w:rsidRPr="00026A5C" w:rsidRDefault="00026A5C" w:rsidP="00F74A87">
      <w:pPr>
        <w:rPr>
          <w:b/>
          <w:sz w:val="22"/>
          <w:szCs w:val="22"/>
        </w:rPr>
      </w:pPr>
      <w:r w:rsidRPr="00026A5C">
        <w:rPr>
          <w:b/>
          <w:sz w:val="22"/>
          <w:szCs w:val="22"/>
        </w:rPr>
        <w:t>Q.11 Stakeholder roles</w:t>
      </w:r>
    </w:p>
    <w:p w:rsidR="00884561" w:rsidRDefault="00884561" w:rsidP="00F74A87">
      <w:pPr>
        <w:rPr>
          <w:sz w:val="22"/>
          <w:szCs w:val="22"/>
        </w:rPr>
      </w:pPr>
      <w:r>
        <w:rPr>
          <w:sz w:val="22"/>
          <w:szCs w:val="22"/>
        </w:rPr>
        <w:t>Stakeholders included responses from GPs, nurses, community care workers, dieticians and other interested parties.</w:t>
      </w:r>
    </w:p>
    <w:p w:rsidR="0083324F" w:rsidRDefault="00026A5C" w:rsidP="00F74A87">
      <w:pPr>
        <w:rPr>
          <w:sz w:val="22"/>
          <w:szCs w:val="22"/>
        </w:rPr>
      </w:pPr>
      <w:r w:rsidRPr="00026A5C">
        <w:rPr>
          <w:b/>
          <w:sz w:val="22"/>
          <w:szCs w:val="22"/>
        </w:rPr>
        <w:t>Q. 12</w:t>
      </w:r>
      <w:r>
        <w:rPr>
          <w:sz w:val="22"/>
          <w:szCs w:val="22"/>
        </w:rPr>
        <w:t xml:space="preserve"> </w:t>
      </w:r>
      <w:r w:rsidR="0083324F" w:rsidRPr="0083324F">
        <w:rPr>
          <w:b/>
          <w:sz w:val="22"/>
          <w:szCs w:val="22"/>
        </w:rPr>
        <w:t>Stakeholder work locations</w:t>
      </w:r>
    </w:p>
    <w:p w:rsidR="00884561" w:rsidRDefault="00884561" w:rsidP="00F74A87">
      <w:pPr>
        <w:rPr>
          <w:sz w:val="22"/>
          <w:szCs w:val="22"/>
        </w:rPr>
      </w:pPr>
      <w:r>
        <w:rPr>
          <w:sz w:val="22"/>
          <w:szCs w:val="22"/>
        </w:rPr>
        <w:t xml:space="preserve">Stakeholders were asked in what part of the county they worked. The </w:t>
      </w:r>
      <w:r w:rsidR="00DC1403">
        <w:rPr>
          <w:sz w:val="22"/>
          <w:szCs w:val="22"/>
        </w:rPr>
        <w:t xml:space="preserve">following </w:t>
      </w:r>
      <w:r>
        <w:rPr>
          <w:sz w:val="22"/>
          <w:szCs w:val="22"/>
        </w:rPr>
        <w:t>table su</w:t>
      </w:r>
      <w:r w:rsidR="00DC1403">
        <w:rPr>
          <w:sz w:val="22"/>
          <w:szCs w:val="22"/>
        </w:rPr>
        <w:t>mmarises the responses received:</w:t>
      </w:r>
      <w:r>
        <w:rPr>
          <w:sz w:val="22"/>
          <w:szCs w:val="22"/>
        </w:rPr>
        <w:t xml:space="preserve"> </w:t>
      </w:r>
    </w:p>
    <w:p w:rsidR="00DC1403" w:rsidRPr="00DC1403" w:rsidRDefault="00DC1403" w:rsidP="00F74A87">
      <w:pPr>
        <w:rPr>
          <w:b/>
          <w:sz w:val="22"/>
          <w:szCs w:val="22"/>
        </w:rPr>
      </w:pPr>
      <w:r w:rsidRPr="00DC1403">
        <w:rPr>
          <w:b/>
          <w:sz w:val="22"/>
          <w:szCs w:val="22"/>
        </w:rPr>
        <w:t>Table 10</w:t>
      </w:r>
    </w:p>
    <w:tbl>
      <w:tblPr>
        <w:tblStyle w:val="TableGrid"/>
        <w:tblW w:w="0" w:type="auto"/>
        <w:tblLook w:val="04A0" w:firstRow="1" w:lastRow="0" w:firstColumn="1" w:lastColumn="0" w:noHBand="0" w:noVBand="1"/>
      </w:tblPr>
      <w:tblGrid>
        <w:gridCol w:w="3153"/>
        <w:gridCol w:w="1208"/>
        <w:gridCol w:w="1417"/>
      </w:tblGrid>
      <w:tr w:rsidR="00AB7F98" w:rsidRPr="00AB7F98" w:rsidTr="00AB7F98">
        <w:tc>
          <w:tcPr>
            <w:tcW w:w="3153" w:type="dxa"/>
            <w:shd w:val="clear" w:color="auto" w:fill="477CBF"/>
          </w:tcPr>
          <w:p w:rsidR="00884561" w:rsidRPr="00AB7F98" w:rsidRDefault="00884561" w:rsidP="00F74A87">
            <w:pPr>
              <w:rPr>
                <w:b/>
                <w:color w:val="FFFFFF" w:themeColor="background1"/>
                <w:sz w:val="22"/>
                <w:szCs w:val="22"/>
              </w:rPr>
            </w:pPr>
            <w:r w:rsidRPr="00AB7F98">
              <w:rPr>
                <w:b/>
                <w:color w:val="FFFFFF" w:themeColor="background1"/>
                <w:sz w:val="22"/>
                <w:szCs w:val="22"/>
              </w:rPr>
              <w:t>Area</w:t>
            </w:r>
          </w:p>
        </w:tc>
        <w:tc>
          <w:tcPr>
            <w:tcW w:w="1208" w:type="dxa"/>
            <w:shd w:val="clear" w:color="auto" w:fill="477CBF"/>
          </w:tcPr>
          <w:p w:rsidR="00884561" w:rsidRPr="00AB7F98" w:rsidRDefault="00AB7F98" w:rsidP="00AB7F98">
            <w:pPr>
              <w:jc w:val="center"/>
              <w:rPr>
                <w:b/>
                <w:color w:val="FFFFFF" w:themeColor="background1"/>
                <w:sz w:val="22"/>
                <w:szCs w:val="22"/>
              </w:rPr>
            </w:pPr>
            <w:r>
              <w:rPr>
                <w:b/>
                <w:color w:val="FFFFFF" w:themeColor="background1"/>
                <w:sz w:val="22"/>
                <w:szCs w:val="22"/>
              </w:rPr>
              <w:t>Number</w:t>
            </w:r>
          </w:p>
        </w:tc>
        <w:tc>
          <w:tcPr>
            <w:tcW w:w="1417" w:type="dxa"/>
            <w:shd w:val="clear" w:color="auto" w:fill="477CBF"/>
          </w:tcPr>
          <w:p w:rsidR="00884561" w:rsidRPr="00AB7F98" w:rsidRDefault="00C654F4" w:rsidP="00C654F4">
            <w:pPr>
              <w:jc w:val="center"/>
              <w:rPr>
                <w:b/>
                <w:color w:val="FFFFFF" w:themeColor="background1"/>
                <w:sz w:val="22"/>
                <w:szCs w:val="22"/>
              </w:rPr>
            </w:pPr>
            <w:r w:rsidRPr="00AB7F98">
              <w:rPr>
                <w:b/>
                <w:color w:val="FFFFFF" w:themeColor="background1"/>
                <w:sz w:val="22"/>
                <w:szCs w:val="22"/>
              </w:rPr>
              <w:t>%</w:t>
            </w:r>
          </w:p>
        </w:tc>
      </w:tr>
      <w:tr w:rsidR="00884561" w:rsidTr="00856272">
        <w:tc>
          <w:tcPr>
            <w:tcW w:w="3153" w:type="dxa"/>
          </w:tcPr>
          <w:p w:rsidR="00884561" w:rsidRDefault="00884561" w:rsidP="00DC1403">
            <w:pPr>
              <w:rPr>
                <w:sz w:val="22"/>
                <w:szCs w:val="22"/>
              </w:rPr>
            </w:pPr>
            <w:r>
              <w:rPr>
                <w:sz w:val="22"/>
                <w:szCs w:val="22"/>
              </w:rPr>
              <w:t xml:space="preserve">North Warwickshire </w:t>
            </w:r>
            <w:r w:rsidR="00DC1403">
              <w:rPr>
                <w:sz w:val="22"/>
                <w:szCs w:val="22"/>
              </w:rPr>
              <w:t>B</w:t>
            </w:r>
            <w:r>
              <w:rPr>
                <w:sz w:val="22"/>
                <w:szCs w:val="22"/>
              </w:rPr>
              <w:t>orough</w:t>
            </w:r>
          </w:p>
        </w:tc>
        <w:tc>
          <w:tcPr>
            <w:tcW w:w="1208" w:type="dxa"/>
          </w:tcPr>
          <w:p w:rsidR="00884561" w:rsidRDefault="00884561" w:rsidP="00C654F4">
            <w:pPr>
              <w:jc w:val="center"/>
              <w:rPr>
                <w:sz w:val="22"/>
                <w:szCs w:val="22"/>
              </w:rPr>
            </w:pPr>
            <w:r>
              <w:rPr>
                <w:sz w:val="22"/>
                <w:szCs w:val="22"/>
              </w:rPr>
              <w:t>5</w:t>
            </w:r>
          </w:p>
        </w:tc>
        <w:tc>
          <w:tcPr>
            <w:tcW w:w="1417" w:type="dxa"/>
            <w:vAlign w:val="bottom"/>
          </w:tcPr>
          <w:p w:rsidR="00884561" w:rsidRPr="00C654F4" w:rsidRDefault="00884561" w:rsidP="00C654F4">
            <w:pPr>
              <w:jc w:val="center"/>
              <w:rPr>
                <w:color w:val="000000"/>
                <w:sz w:val="22"/>
                <w:szCs w:val="22"/>
              </w:rPr>
            </w:pPr>
            <w:r w:rsidRPr="00C654F4">
              <w:rPr>
                <w:color w:val="000000"/>
                <w:sz w:val="22"/>
                <w:szCs w:val="22"/>
              </w:rPr>
              <w:t>13%</w:t>
            </w:r>
          </w:p>
        </w:tc>
      </w:tr>
      <w:tr w:rsidR="00884561" w:rsidTr="00856272">
        <w:tc>
          <w:tcPr>
            <w:tcW w:w="3153" w:type="dxa"/>
          </w:tcPr>
          <w:p w:rsidR="00884561" w:rsidRDefault="00884561" w:rsidP="00DC1403">
            <w:pPr>
              <w:rPr>
                <w:sz w:val="22"/>
                <w:szCs w:val="22"/>
              </w:rPr>
            </w:pPr>
            <w:r>
              <w:rPr>
                <w:sz w:val="22"/>
                <w:szCs w:val="22"/>
              </w:rPr>
              <w:t xml:space="preserve">Nuneaton &amp; Bedworth </w:t>
            </w:r>
            <w:r w:rsidR="00DC1403">
              <w:rPr>
                <w:sz w:val="22"/>
                <w:szCs w:val="22"/>
              </w:rPr>
              <w:t>B</w:t>
            </w:r>
            <w:r>
              <w:rPr>
                <w:sz w:val="22"/>
                <w:szCs w:val="22"/>
              </w:rPr>
              <w:t>orough</w:t>
            </w:r>
          </w:p>
        </w:tc>
        <w:tc>
          <w:tcPr>
            <w:tcW w:w="1208" w:type="dxa"/>
          </w:tcPr>
          <w:p w:rsidR="00884561" w:rsidRDefault="00884561" w:rsidP="00C654F4">
            <w:pPr>
              <w:jc w:val="center"/>
              <w:rPr>
                <w:sz w:val="22"/>
                <w:szCs w:val="22"/>
              </w:rPr>
            </w:pPr>
            <w:r>
              <w:rPr>
                <w:sz w:val="22"/>
                <w:szCs w:val="22"/>
              </w:rPr>
              <w:t>7</w:t>
            </w:r>
          </w:p>
        </w:tc>
        <w:tc>
          <w:tcPr>
            <w:tcW w:w="1417" w:type="dxa"/>
            <w:vAlign w:val="bottom"/>
          </w:tcPr>
          <w:p w:rsidR="00884561" w:rsidRPr="00C654F4" w:rsidRDefault="00884561" w:rsidP="00C654F4">
            <w:pPr>
              <w:jc w:val="center"/>
              <w:rPr>
                <w:color w:val="000000"/>
                <w:sz w:val="22"/>
                <w:szCs w:val="22"/>
              </w:rPr>
            </w:pPr>
            <w:r w:rsidRPr="00C654F4">
              <w:rPr>
                <w:color w:val="000000"/>
                <w:sz w:val="22"/>
                <w:szCs w:val="22"/>
              </w:rPr>
              <w:t>18%</w:t>
            </w:r>
          </w:p>
        </w:tc>
      </w:tr>
      <w:tr w:rsidR="00884561" w:rsidTr="00856272">
        <w:tc>
          <w:tcPr>
            <w:tcW w:w="3153" w:type="dxa"/>
          </w:tcPr>
          <w:p w:rsidR="00884561" w:rsidRDefault="00884561" w:rsidP="00DC1403">
            <w:pPr>
              <w:rPr>
                <w:sz w:val="22"/>
                <w:szCs w:val="22"/>
              </w:rPr>
            </w:pPr>
            <w:r>
              <w:rPr>
                <w:sz w:val="22"/>
                <w:szCs w:val="22"/>
              </w:rPr>
              <w:t xml:space="preserve">Rugby </w:t>
            </w:r>
            <w:r w:rsidR="00DC1403">
              <w:rPr>
                <w:sz w:val="22"/>
                <w:szCs w:val="22"/>
              </w:rPr>
              <w:t>B</w:t>
            </w:r>
            <w:r>
              <w:rPr>
                <w:sz w:val="22"/>
                <w:szCs w:val="22"/>
              </w:rPr>
              <w:t>orough</w:t>
            </w:r>
          </w:p>
        </w:tc>
        <w:tc>
          <w:tcPr>
            <w:tcW w:w="1208" w:type="dxa"/>
          </w:tcPr>
          <w:p w:rsidR="00884561" w:rsidRDefault="00884561" w:rsidP="00C654F4">
            <w:pPr>
              <w:jc w:val="center"/>
              <w:rPr>
                <w:sz w:val="22"/>
                <w:szCs w:val="22"/>
              </w:rPr>
            </w:pPr>
            <w:r>
              <w:rPr>
                <w:sz w:val="22"/>
                <w:szCs w:val="22"/>
              </w:rPr>
              <w:t>0</w:t>
            </w:r>
          </w:p>
        </w:tc>
        <w:tc>
          <w:tcPr>
            <w:tcW w:w="1417" w:type="dxa"/>
            <w:vAlign w:val="bottom"/>
          </w:tcPr>
          <w:p w:rsidR="00884561" w:rsidRPr="00C654F4" w:rsidRDefault="00884561" w:rsidP="00C654F4">
            <w:pPr>
              <w:jc w:val="center"/>
              <w:rPr>
                <w:color w:val="000000"/>
                <w:sz w:val="22"/>
                <w:szCs w:val="22"/>
              </w:rPr>
            </w:pPr>
            <w:r w:rsidRPr="00C654F4">
              <w:rPr>
                <w:color w:val="000000"/>
                <w:sz w:val="22"/>
                <w:szCs w:val="22"/>
              </w:rPr>
              <w:t>0%</w:t>
            </w:r>
          </w:p>
        </w:tc>
      </w:tr>
      <w:tr w:rsidR="00884561" w:rsidTr="00856272">
        <w:tc>
          <w:tcPr>
            <w:tcW w:w="3153" w:type="dxa"/>
          </w:tcPr>
          <w:p w:rsidR="00884561" w:rsidRDefault="00884561" w:rsidP="00F74A87">
            <w:pPr>
              <w:rPr>
                <w:sz w:val="22"/>
                <w:szCs w:val="22"/>
              </w:rPr>
            </w:pPr>
            <w:r>
              <w:rPr>
                <w:sz w:val="22"/>
                <w:szCs w:val="22"/>
              </w:rPr>
              <w:t>Stratford on Avon District</w:t>
            </w:r>
          </w:p>
        </w:tc>
        <w:tc>
          <w:tcPr>
            <w:tcW w:w="1208" w:type="dxa"/>
          </w:tcPr>
          <w:p w:rsidR="00884561" w:rsidRDefault="00884561" w:rsidP="00C654F4">
            <w:pPr>
              <w:jc w:val="center"/>
              <w:rPr>
                <w:sz w:val="22"/>
                <w:szCs w:val="22"/>
              </w:rPr>
            </w:pPr>
            <w:r>
              <w:rPr>
                <w:sz w:val="22"/>
                <w:szCs w:val="22"/>
              </w:rPr>
              <w:t>3</w:t>
            </w:r>
          </w:p>
        </w:tc>
        <w:tc>
          <w:tcPr>
            <w:tcW w:w="1417" w:type="dxa"/>
            <w:vAlign w:val="bottom"/>
          </w:tcPr>
          <w:p w:rsidR="00884561" w:rsidRPr="00C654F4" w:rsidRDefault="00884561" w:rsidP="00C654F4">
            <w:pPr>
              <w:jc w:val="center"/>
              <w:rPr>
                <w:color w:val="000000"/>
                <w:sz w:val="22"/>
                <w:szCs w:val="22"/>
              </w:rPr>
            </w:pPr>
            <w:r w:rsidRPr="00C654F4">
              <w:rPr>
                <w:color w:val="000000"/>
                <w:sz w:val="22"/>
                <w:szCs w:val="22"/>
              </w:rPr>
              <w:t>8%</w:t>
            </w:r>
          </w:p>
        </w:tc>
      </w:tr>
      <w:tr w:rsidR="00884561" w:rsidTr="00856272">
        <w:tc>
          <w:tcPr>
            <w:tcW w:w="3153" w:type="dxa"/>
          </w:tcPr>
          <w:p w:rsidR="00884561" w:rsidRDefault="00884561" w:rsidP="00F74A87">
            <w:pPr>
              <w:rPr>
                <w:sz w:val="22"/>
                <w:szCs w:val="22"/>
              </w:rPr>
            </w:pPr>
            <w:r>
              <w:rPr>
                <w:sz w:val="22"/>
                <w:szCs w:val="22"/>
              </w:rPr>
              <w:t>Warwick District</w:t>
            </w:r>
          </w:p>
        </w:tc>
        <w:tc>
          <w:tcPr>
            <w:tcW w:w="1208" w:type="dxa"/>
          </w:tcPr>
          <w:p w:rsidR="00884561" w:rsidRDefault="00884561" w:rsidP="00C654F4">
            <w:pPr>
              <w:jc w:val="center"/>
              <w:rPr>
                <w:sz w:val="22"/>
                <w:szCs w:val="22"/>
              </w:rPr>
            </w:pPr>
            <w:r>
              <w:rPr>
                <w:sz w:val="22"/>
                <w:szCs w:val="22"/>
              </w:rPr>
              <w:t>9</w:t>
            </w:r>
          </w:p>
        </w:tc>
        <w:tc>
          <w:tcPr>
            <w:tcW w:w="1417" w:type="dxa"/>
            <w:vAlign w:val="bottom"/>
          </w:tcPr>
          <w:p w:rsidR="00884561" w:rsidRPr="00C654F4" w:rsidRDefault="00884561" w:rsidP="00C654F4">
            <w:pPr>
              <w:jc w:val="center"/>
              <w:rPr>
                <w:color w:val="000000"/>
                <w:sz w:val="22"/>
                <w:szCs w:val="22"/>
              </w:rPr>
            </w:pPr>
            <w:r w:rsidRPr="00C654F4">
              <w:rPr>
                <w:color w:val="000000"/>
                <w:sz w:val="22"/>
                <w:szCs w:val="22"/>
              </w:rPr>
              <w:t>24%</w:t>
            </w:r>
          </w:p>
        </w:tc>
      </w:tr>
      <w:tr w:rsidR="00884561" w:rsidTr="00856272">
        <w:tc>
          <w:tcPr>
            <w:tcW w:w="3153" w:type="dxa"/>
          </w:tcPr>
          <w:p w:rsidR="00884561" w:rsidRDefault="00884561" w:rsidP="00F74A87">
            <w:pPr>
              <w:rPr>
                <w:sz w:val="22"/>
                <w:szCs w:val="22"/>
              </w:rPr>
            </w:pPr>
            <w:r>
              <w:rPr>
                <w:sz w:val="22"/>
                <w:szCs w:val="22"/>
              </w:rPr>
              <w:t>Countywide</w:t>
            </w:r>
          </w:p>
        </w:tc>
        <w:tc>
          <w:tcPr>
            <w:tcW w:w="1208" w:type="dxa"/>
          </w:tcPr>
          <w:p w:rsidR="00884561" w:rsidRDefault="00884561" w:rsidP="00C654F4">
            <w:pPr>
              <w:jc w:val="center"/>
              <w:rPr>
                <w:sz w:val="22"/>
                <w:szCs w:val="22"/>
              </w:rPr>
            </w:pPr>
            <w:r>
              <w:rPr>
                <w:sz w:val="22"/>
                <w:szCs w:val="22"/>
              </w:rPr>
              <w:t>14</w:t>
            </w:r>
          </w:p>
        </w:tc>
        <w:tc>
          <w:tcPr>
            <w:tcW w:w="1417" w:type="dxa"/>
            <w:vAlign w:val="bottom"/>
          </w:tcPr>
          <w:p w:rsidR="00884561" w:rsidRPr="00C654F4" w:rsidRDefault="00884561" w:rsidP="00C654F4">
            <w:pPr>
              <w:jc w:val="center"/>
              <w:rPr>
                <w:color w:val="000000"/>
                <w:sz w:val="22"/>
                <w:szCs w:val="22"/>
              </w:rPr>
            </w:pPr>
            <w:r w:rsidRPr="00C654F4">
              <w:rPr>
                <w:color w:val="000000"/>
                <w:sz w:val="22"/>
                <w:szCs w:val="22"/>
              </w:rPr>
              <w:t>37%</w:t>
            </w:r>
          </w:p>
        </w:tc>
      </w:tr>
    </w:tbl>
    <w:p w:rsidR="00DC1403" w:rsidRDefault="00884561" w:rsidP="00F74A87">
      <w:pPr>
        <w:rPr>
          <w:sz w:val="22"/>
          <w:szCs w:val="22"/>
        </w:rPr>
      </w:pPr>
      <w:r>
        <w:rPr>
          <w:sz w:val="22"/>
          <w:szCs w:val="22"/>
        </w:rPr>
        <w:t xml:space="preserve"> </w:t>
      </w:r>
    </w:p>
    <w:p w:rsidR="0083324F" w:rsidRPr="0083324F" w:rsidRDefault="0083324F" w:rsidP="00F74A87">
      <w:pPr>
        <w:rPr>
          <w:b/>
          <w:sz w:val="22"/>
          <w:szCs w:val="22"/>
        </w:rPr>
      </w:pPr>
      <w:r w:rsidRPr="0083324F">
        <w:rPr>
          <w:b/>
          <w:sz w:val="22"/>
          <w:szCs w:val="22"/>
        </w:rPr>
        <w:t>Q.13a and Q.13b Referring to the proposed Move Improve service</w:t>
      </w:r>
    </w:p>
    <w:p w:rsidR="00E556EA" w:rsidRDefault="00E556EA" w:rsidP="00F74A87">
      <w:pPr>
        <w:rPr>
          <w:sz w:val="22"/>
          <w:szCs w:val="22"/>
        </w:rPr>
      </w:pPr>
      <w:r>
        <w:rPr>
          <w:sz w:val="22"/>
          <w:szCs w:val="22"/>
        </w:rPr>
        <w:t>Stakeholders were asked if they would refer to the proposed Move Improve service. The majority of respondents said they would refer (79%). A number of respondents said they were unsure wh</w:t>
      </w:r>
      <w:r w:rsidR="00DC1403">
        <w:rPr>
          <w:sz w:val="22"/>
          <w:szCs w:val="22"/>
        </w:rPr>
        <w:t>ile only one said they would not refer to the proposed Move Improve Service.</w:t>
      </w:r>
    </w:p>
    <w:p w:rsidR="00DC1403" w:rsidRPr="00DC1403" w:rsidRDefault="00DC1403" w:rsidP="00F74A87">
      <w:pPr>
        <w:rPr>
          <w:b/>
          <w:sz w:val="22"/>
          <w:szCs w:val="22"/>
        </w:rPr>
      </w:pPr>
      <w:r w:rsidRPr="00DC1403">
        <w:rPr>
          <w:b/>
          <w:sz w:val="22"/>
          <w:szCs w:val="22"/>
        </w:rPr>
        <w:t>Table 11</w:t>
      </w:r>
    </w:p>
    <w:tbl>
      <w:tblPr>
        <w:tblStyle w:val="TableGrid"/>
        <w:tblW w:w="0" w:type="auto"/>
        <w:tblLook w:val="04A0" w:firstRow="1" w:lastRow="0" w:firstColumn="1" w:lastColumn="0" w:noHBand="0" w:noVBand="1"/>
      </w:tblPr>
      <w:tblGrid>
        <w:gridCol w:w="3080"/>
        <w:gridCol w:w="1281"/>
        <w:gridCol w:w="1417"/>
      </w:tblGrid>
      <w:tr w:rsidR="00AB7F98" w:rsidRPr="00AB7F98" w:rsidTr="00AB7F98">
        <w:tc>
          <w:tcPr>
            <w:tcW w:w="3080" w:type="dxa"/>
            <w:shd w:val="clear" w:color="auto" w:fill="477CBF"/>
          </w:tcPr>
          <w:p w:rsidR="00E556EA" w:rsidRPr="00AB7F98" w:rsidRDefault="00E556EA" w:rsidP="00F74A87">
            <w:pPr>
              <w:rPr>
                <w:b/>
                <w:color w:val="FFFFFF" w:themeColor="background1"/>
                <w:sz w:val="20"/>
                <w:szCs w:val="20"/>
              </w:rPr>
            </w:pPr>
            <w:r w:rsidRPr="00AB7F98">
              <w:rPr>
                <w:b/>
                <w:color w:val="FFFFFF" w:themeColor="background1"/>
                <w:sz w:val="20"/>
                <w:szCs w:val="20"/>
              </w:rPr>
              <w:t>Would you refer to the proposed Move Improve service</w:t>
            </w:r>
          </w:p>
        </w:tc>
        <w:tc>
          <w:tcPr>
            <w:tcW w:w="1281" w:type="dxa"/>
            <w:shd w:val="clear" w:color="auto" w:fill="477CBF"/>
          </w:tcPr>
          <w:p w:rsidR="00E556EA" w:rsidRPr="00AB7F98" w:rsidRDefault="00AB7F98" w:rsidP="00AB7F98">
            <w:pPr>
              <w:jc w:val="center"/>
              <w:rPr>
                <w:b/>
                <w:color w:val="FFFFFF" w:themeColor="background1"/>
                <w:sz w:val="22"/>
                <w:szCs w:val="22"/>
              </w:rPr>
            </w:pPr>
            <w:r>
              <w:rPr>
                <w:b/>
                <w:color w:val="FFFFFF" w:themeColor="background1"/>
                <w:sz w:val="22"/>
                <w:szCs w:val="22"/>
              </w:rPr>
              <w:t>Number</w:t>
            </w:r>
          </w:p>
        </w:tc>
        <w:tc>
          <w:tcPr>
            <w:tcW w:w="1417" w:type="dxa"/>
            <w:shd w:val="clear" w:color="auto" w:fill="477CBF"/>
          </w:tcPr>
          <w:p w:rsidR="00E556EA" w:rsidRPr="00AB7F98" w:rsidRDefault="00E556EA" w:rsidP="002706B7">
            <w:pPr>
              <w:jc w:val="center"/>
              <w:rPr>
                <w:b/>
                <w:color w:val="FFFFFF" w:themeColor="background1"/>
                <w:sz w:val="22"/>
                <w:szCs w:val="22"/>
              </w:rPr>
            </w:pPr>
            <w:r w:rsidRPr="00AB7F98">
              <w:rPr>
                <w:b/>
                <w:color w:val="FFFFFF" w:themeColor="background1"/>
                <w:sz w:val="22"/>
                <w:szCs w:val="22"/>
              </w:rPr>
              <w:t>%</w:t>
            </w:r>
          </w:p>
        </w:tc>
      </w:tr>
      <w:tr w:rsidR="00E556EA" w:rsidTr="00E556EA">
        <w:tc>
          <w:tcPr>
            <w:tcW w:w="3080" w:type="dxa"/>
          </w:tcPr>
          <w:p w:rsidR="00E556EA" w:rsidRDefault="00E556EA" w:rsidP="00F74A87">
            <w:pPr>
              <w:rPr>
                <w:sz w:val="22"/>
                <w:szCs w:val="22"/>
              </w:rPr>
            </w:pPr>
            <w:r>
              <w:rPr>
                <w:sz w:val="22"/>
                <w:szCs w:val="22"/>
              </w:rPr>
              <w:t>Yes</w:t>
            </w:r>
          </w:p>
        </w:tc>
        <w:tc>
          <w:tcPr>
            <w:tcW w:w="1281" w:type="dxa"/>
          </w:tcPr>
          <w:p w:rsidR="00E556EA" w:rsidRDefault="00E556EA" w:rsidP="002706B7">
            <w:pPr>
              <w:jc w:val="center"/>
              <w:rPr>
                <w:sz w:val="22"/>
                <w:szCs w:val="22"/>
              </w:rPr>
            </w:pPr>
            <w:r>
              <w:rPr>
                <w:sz w:val="22"/>
                <w:szCs w:val="22"/>
              </w:rPr>
              <w:t>30</w:t>
            </w:r>
          </w:p>
        </w:tc>
        <w:tc>
          <w:tcPr>
            <w:tcW w:w="1417" w:type="dxa"/>
          </w:tcPr>
          <w:p w:rsidR="00E556EA" w:rsidRDefault="00E556EA" w:rsidP="002706B7">
            <w:pPr>
              <w:jc w:val="center"/>
              <w:rPr>
                <w:sz w:val="22"/>
                <w:szCs w:val="22"/>
              </w:rPr>
            </w:pPr>
            <w:r>
              <w:rPr>
                <w:sz w:val="22"/>
                <w:szCs w:val="22"/>
              </w:rPr>
              <w:t>79%</w:t>
            </w:r>
          </w:p>
        </w:tc>
      </w:tr>
      <w:tr w:rsidR="00E556EA" w:rsidTr="00E556EA">
        <w:tc>
          <w:tcPr>
            <w:tcW w:w="3080" w:type="dxa"/>
          </w:tcPr>
          <w:p w:rsidR="00E556EA" w:rsidRDefault="00E556EA" w:rsidP="00F74A87">
            <w:pPr>
              <w:rPr>
                <w:sz w:val="22"/>
                <w:szCs w:val="22"/>
              </w:rPr>
            </w:pPr>
            <w:r>
              <w:rPr>
                <w:sz w:val="22"/>
                <w:szCs w:val="22"/>
              </w:rPr>
              <w:t>No</w:t>
            </w:r>
          </w:p>
        </w:tc>
        <w:tc>
          <w:tcPr>
            <w:tcW w:w="1281" w:type="dxa"/>
          </w:tcPr>
          <w:p w:rsidR="00E556EA" w:rsidRDefault="002706B7" w:rsidP="002706B7">
            <w:pPr>
              <w:jc w:val="center"/>
              <w:rPr>
                <w:sz w:val="22"/>
                <w:szCs w:val="22"/>
              </w:rPr>
            </w:pPr>
            <w:r>
              <w:rPr>
                <w:sz w:val="22"/>
                <w:szCs w:val="22"/>
              </w:rPr>
              <w:t>1</w:t>
            </w:r>
          </w:p>
        </w:tc>
        <w:tc>
          <w:tcPr>
            <w:tcW w:w="1417" w:type="dxa"/>
          </w:tcPr>
          <w:p w:rsidR="00E556EA" w:rsidRDefault="002706B7" w:rsidP="002706B7">
            <w:pPr>
              <w:jc w:val="center"/>
              <w:rPr>
                <w:sz w:val="22"/>
                <w:szCs w:val="22"/>
              </w:rPr>
            </w:pPr>
            <w:r>
              <w:rPr>
                <w:sz w:val="22"/>
                <w:szCs w:val="22"/>
              </w:rPr>
              <w:t>3%</w:t>
            </w:r>
          </w:p>
        </w:tc>
      </w:tr>
      <w:tr w:rsidR="00E556EA" w:rsidTr="00E556EA">
        <w:tc>
          <w:tcPr>
            <w:tcW w:w="3080" w:type="dxa"/>
          </w:tcPr>
          <w:p w:rsidR="00E556EA" w:rsidRDefault="00E556EA" w:rsidP="00F74A87">
            <w:pPr>
              <w:rPr>
                <w:sz w:val="22"/>
                <w:szCs w:val="22"/>
              </w:rPr>
            </w:pPr>
            <w:r>
              <w:rPr>
                <w:sz w:val="22"/>
                <w:szCs w:val="22"/>
              </w:rPr>
              <w:t>Not sure</w:t>
            </w:r>
          </w:p>
        </w:tc>
        <w:tc>
          <w:tcPr>
            <w:tcW w:w="1281" w:type="dxa"/>
          </w:tcPr>
          <w:p w:rsidR="00E556EA" w:rsidRDefault="002706B7" w:rsidP="002706B7">
            <w:pPr>
              <w:jc w:val="center"/>
              <w:rPr>
                <w:sz w:val="22"/>
                <w:szCs w:val="22"/>
              </w:rPr>
            </w:pPr>
            <w:r>
              <w:rPr>
                <w:sz w:val="22"/>
                <w:szCs w:val="22"/>
              </w:rPr>
              <w:t>7</w:t>
            </w:r>
          </w:p>
        </w:tc>
        <w:tc>
          <w:tcPr>
            <w:tcW w:w="1417" w:type="dxa"/>
          </w:tcPr>
          <w:p w:rsidR="00E556EA" w:rsidRDefault="002706B7" w:rsidP="002706B7">
            <w:pPr>
              <w:jc w:val="center"/>
              <w:rPr>
                <w:sz w:val="22"/>
                <w:szCs w:val="22"/>
              </w:rPr>
            </w:pPr>
            <w:r>
              <w:rPr>
                <w:sz w:val="22"/>
                <w:szCs w:val="22"/>
              </w:rPr>
              <w:t>18%</w:t>
            </w:r>
          </w:p>
        </w:tc>
      </w:tr>
    </w:tbl>
    <w:p w:rsidR="004B0337" w:rsidRDefault="004B0337" w:rsidP="00F74A87">
      <w:pPr>
        <w:rPr>
          <w:sz w:val="22"/>
          <w:szCs w:val="22"/>
        </w:rPr>
      </w:pPr>
    </w:p>
    <w:p w:rsidR="00B31575" w:rsidRDefault="002706B7" w:rsidP="00F74A87">
      <w:pPr>
        <w:rPr>
          <w:sz w:val="22"/>
          <w:szCs w:val="22"/>
        </w:rPr>
      </w:pPr>
      <w:r>
        <w:rPr>
          <w:sz w:val="22"/>
          <w:szCs w:val="22"/>
        </w:rPr>
        <w:t>When asked about the reasons for the above responses</w:t>
      </w:r>
      <w:r w:rsidR="00306ACB">
        <w:rPr>
          <w:sz w:val="22"/>
          <w:szCs w:val="22"/>
        </w:rPr>
        <w:t>,</w:t>
      </w:r>
      <w:r>
        <w:rPr>
          <w:sz w:val="22"/>
          <w:szCs w:val="22"/>
        </w:rPr>
        <w:t xml:space="preserve"> those who said they would refer </w:t>
      </w:r>
      <w:r w:rsidR="00306ACB">
        <w:rPr>
          <w:sz w:val="22"/>
          <w:szCs w:val="22"/>
        </w:rPr>
        <w:t xml:space="preserve">to the proposed service </w:t>
      </w:r>
      <w:r w:rsidR="00EA7547">
        <w:rPr>
          <w:sz w:val="22"/>
          <w:szCs w:val="22"/>
        </w:rPr>
        <w:t>tended to work directly with clients who they thought would benefit</w:t>
      </w:r>
      <w:r w:rsidR="00B31575">
        <w:rPr>
          <w:sz w:val="22"/>
          <w:szCs w:val="22"/>
        </w:rPr>
        <w:t>. The proposed service was generally welcomed as</w:t>
      </w:r>
      <w:r w:rsidR="00EA7547">
        <w:rPr>
          <w:sz w:val="22"/>
          <w:szCs w:val="22"/>
        </w:rPr>
        <w:t xml:space="preserve"> it would help “reduce hospital admissions and longer term conditions”. </w:t>
      </w:r>
      <w:r w:rsidR="006C012C">
        <w:rPr>
          <w:sz w:val="22"/>
          <w:szCs w:val="22"/>
        </w:rPr>
        <w:t xml:space="preserve"> </w:t>
      </w:r>
    </w:p>
    <w:p w:rsidR="00EA7547" w:rsidRDefault="00EA7547" w:rsidP="00F74A87">
      <w:pPr>
        <w:rPr>
          <w:sz w:val="22"/>
          <w:szCs w:val="22"/>
        </w:rPr>
      </w:pPr>
      <w:r>
        <w:rPr>
          <w:sz w:val="22"/>
          <w:szCs w:val="22"/>
        </w:rPr>
        <w:t xml:space="preserve">For those not sure/no it was less about the detail of the service being provided but more about not necessarily having direct access to people who may benefit i.e. not being in a position to refer </w:t>
      </w:r>
      <w:r w:rsidR="00306ACB">
        <w:rPr>
          <w:sz w:val="22"/>
          <w:szCs w:val="22"/>
        </w:rPr>
        <w:t>people rather</w:t>
      </w:r>
      <w:r w:rsidR="00B31575">
        <w:rPr>
          <w:sz w:val="22"/>
          <w:szCs w:val="22"/>
        </w:rPr>
        <w:t xml:space="preserve"> </w:t>
      </w:r>
      <w:r>
        <w:rPr>
          <w:sz w:val="22"/>
          <w:szCs w:val="22"/>
        </w:rPr>
        <w:t>than thinking t</w:t>
      </w:r>
      <w:r w:rsidR="00B31575">
        <w:rPr>
          <w:sz w:val="22"/>
          <w:szCs w:val="22"/>
        </w:rPr>
        <w:t>he proposed</w:t>
      </w:r>
      <w:r>
        <w:rPr>
          <w:sz w:val="22"/>
          <w:szCs w:val="22"/>
        </w:rPr>
        <w:t xml:space="preserve"> service </w:t>
      </w:r>
      <w:r w:rsidR="00B31575">
        <w:rPr>
          <w:sz w:val="22"/>
          <w:szCs w:val="22"/>
        </w:rPr>
        <w:t>was not appropriate.</w:t>
      </w:r>
    </w:p>
    <w:p w:rsidR="00DC1403" w:rsidRDefault="00DC1403" w:rsidP="00F74A87">
      <w:pPr>
        <w:rPr>
          <w:b/>
          <w:sz w:val="22"/>
          <w:szCs w:val="22"/>
        </w:rPr>
      </w:pPr>
    </w:p>
    <w:p w:rsidR="00DC1403" w:rsidRDefault="00DC1403" w:rsidP="00F74A87">
      <w:pPr>
        <w:rPr>
          <w:b/>
          <w:sz w:val="22"/>
          <w:szCs w:val="22"/>
        </w:rPr>
      </w:pPr>
    </w:p>
    <w:p w:rsidR="00DC1403" w:rsidRDefault="00DC1403" w:rsidP="00F74A87">
      <w:pPr>
        <w:rPr>
          <w:b/>
          <w:sz w:val="22"/>
          <w:szCs w:val="22"/>
        </w:rPr>
      </w:pPr>
    </w:p>
    <w:p w:rsidR="004B0337" w:rsidRDefault="00097558" w:rsidP="00F74A87">
      <w:pPr>
        <w:rPr>
          <w:b/>
          <w:sz w:val="22"/>
          <w:szCs w:val="22"/>
        </w:rPr>
      </w:pPr>
      <w:r>
        <w:rPr>
          <w:b/>
          <w:sz w:val="22"/>
          <w:szCs w:val="22"/>
        </w:rPr>
        <w:lastRenderedPageBreak/>
        <w:t xml:space="preserve">Q. 15 </w:t>
      </w:r>
      <w:r w:rsidR="003818A7" w:rsidRPr="00640774">
        <w:rPr>
          <w:b/>
          <w:sz w:val="22"/>
          <w:szCs w:val="22"/>
        </w:rPr>
        <w:t>Any other comments</w:t>
      </w:r>
    </w:p>
    <w:p w:rsidR="003818A7" w:rsidRDefault="003818A7" w:rsidP="00F74A87">
      <w:pPr>
        <w:rPr>
          <w:sz w:val="22"/>
          <w:szCs w:val="22"/>
        </w:rPr>
      </w:pPr>
      <w:r>
        <w:rPr>
          <w:sz w:val="22"/>
          <w:szCs w:val="22"/>
        </w:rPr>
        <w:t xml:space="preserve">The main themes which were commented upon are detailed in the </w:t>
      </w:r>
      <w:r w:rsidR="00DC1403">
        <w:rPr>
          <w:sz w:val="22"/>
          <w:szCs w:val="22"/>
        </w:rPr>
        <w:t xml:space="preserve">following </w:t>
      </w:r>
      <w:r>
        <w:rPr>
          <w:sz w:val="22"/>
          <w:szCs w:val="22"/>
        </w:rPr>
        <w:t>table</w:t>
      </w:r>
      <w:r w:rsidR="00DC1403">
        <w:rPr>
          <w:sz w:val="22"/>
          <w:szCs w:val="22"/>
        </w:rPr>
        <w:t>:</w:t>
      </w:r>
    </w:p>
    <w:p w:rsidR="00DC1403" w:rsidRPr="00DC1403" w:rsidRDefault="00DC1403" w:rsidP="00F74A87">
      <w:pPr>
        <w:rPr>
          <w:b/>
          <w:sz w:val="22"/>
          <w:szCs w:val="22"/>
        </w:rPr>
      </w:pPr>
      <w:r w:rsidRPr="00DC1403">
        <w:rPr>
          <w:b/>
          <w:sz w:val="22"/>
          <w:szCs w:val="22"/>
        </w:rPr>
        <w:t>Table 12</w:t>
      </w:r>
    </w:p>
    <w:tbl>
      <w:tblPr>
        <w:tblStyle w:val="TableGrid"/>
        <w:tblW w:w="0" w:type="auto"/>
        <w:tblLook w:val="04A0" w:firstRow="1" w:lastRow="0" w:firstColumn="1" w:lastColumn="0" w:noHBand="0" w:noVBand="1"/>
      </w:tblPr>
      <w:tblGrid>
        <w:gridCol w:w="2943"/>
        <w:gridCol w:w="6299"/>
      </w:tblGrid>
      <w:tr w:rsidR="00AB7F98" w:rsidRPr="00AB7F98" w:rsidTr="00AB7F98">
        <w:tc>
          <w:tcPr>
            <w:tcW w:w="2943" w:type="dxa"/>
            <w:shd w:val="clear" w:color="auto" w:fill="477CBF"/>
          </w:tcPr>
          <w:p w:rsidR="003103CD" w:rsidRPr="00AB7F98" w:rsidRDefault="003103CD" w:rsidP="00F74A87">
            <w:pPr>
              <w:rPr>
                <w:b/>
                <w:color w:val="FFFFFF" w:themeColor="background1"/>
                <w:sz w:val="22"/>
                <w:szCs w:val="22"/>
              </w:rPr>
            </w:pPr>
            <w:r w:rsidRPr="00AB7F98">
              <w:rPr>
                <w:b/>
                <w:color w:val="FFFFFF" w:themeColor="background1"/>
                <w:sz w:val="22"/>
                <w:szCs w:val="22"/>
              </w:rPr>
              <w:t>Top themes - Public</w:t>
            </w:r>
          </w:p>
        </w:tc>
        <w:tc>
          <w:tcPr>
            <w:tcW w:w="6299" w:type="dxa"/>
            <w:shd w:val="clear" w:color="auto" w:fill="477CBF"/>
          </w:tcPr>
          <w:p w:rsidR="003103CD" w:rsidRPr="00AB7F98" w:rsidRDefault="003103CD" w:rsidP="00F74A87">
            <w:pPr>
              <w:rPr>
                <w:b/>
                <w:color w:val="FFFFFF" w:themeColor="background1"/>
                <w:sz w:val="22"/>
                <w:szCs w:val="22"/>
              </w:rPr>
            </w:pPr>
          </w:p>
        </w:tc>
      </w:tr>
      <w:tr w:rsidR="003103CD" w:rsidTr="003103CD">
        <w:tc>
          <w:tcPr>
            <w:tcW w:w="2943" w:type="dxa"/>
          </w:tcPr>
          <w:p w:rsidR="003103CD" w:rsidRDefault="003103CD" w:rsidP="00F74A87">
            <w:pPr>
              <w:rPr>
                <w:sz w:val="22"/>
                <w:szCs w:val="22"/>
              </w:rPr>
            </w:pPr>
            <w:r>
              <w:rPr>
                <w:sz w:val="22"/>
                <w:szCs w:val="22"/>
              </w:rPr>
              <w:t>Proposed service detail</w:t>
            </w:r>
          </w:p>
        </w:tc>
        <w:tc>
          <w:tcPr>
            <w:tcW w:w="6299" w:type="dxa"/>
          </w:tcPr>
          <w:p w:rsidR="003103CD" w:rsidRDefault="00975BA2" w:rsidP="003103CD">
            <w:pPr>
              <w:pStyle w:val="ListParagraph"/>
              <w:numPr>
                <w:ilvl w:val="0"/>
                <w:numId w:val="15"/>
              </w:numPr>
              <w:rPr>
                <w:sz w:val="22"/>
                <w:szCs w:val="22"/>
              </w:rPr>
            </w:pPr>
            <w:r>
              <w:rPr>
                <w:sz w:val="22"/>
                <w:szCs w:val="22"/>
              </w:rPr>
              <w:t xml:space="preserve">Range of comments on detail of the service </w:t>
            </w:r>
            <w:r w:rsidR="007F0A3D">
              <w:rPr>
                <w:sz w:val="22"/>
                <w:szCs w:val="22"/>
              </w:rPr>
              <w:t>–</w:t>
            </w:r>
            <w:r w:rsidR="003103CD">
              <w:rPr>
                <w:sz w:val="22"/>
                <w:szCs w:val="22"/>
              </w:rPr>
              <w:t xml:space="preserve"> </w:t>
            </w:r>
            <w:r w:rsidR="007F0A3D">
              <w:rPr>
                <w:sz w:val="22"/>
                <w:szCs w:val="22"/>
              </w:rPr>
              <w:t xml:space="preserve">further questions about </w:t>
            </w:r>
            <w:r w:rsidR="003103CD">
              <w:rPr>
                <w:sz w:val="22"/>
                <w:szCs w:val="22"/>
              </w:rPr>
              <w:t xml:space="preserve">who it’s </w:t>
            </w:r>
            <w:r>
              <w:rPr>
                <w:sz w:val="22"/>
                <w:szCs w:val="22"/>
              </w:rPr>
              <w:t>aimed at and how it should work/accessibility</w:t>
            </w:r>
          </w:p>
          <w:p w:rsidR="00975BA2" w:rsidRPr="003103CD" w:rsidRDefault="00975BA2" w:rsidP="003103CD">
            <w:pPr>
              <w:pStyle w:val="ListParagraph"/>
              <w:numPr>
                <w:ilvl w:val="0"/>
                <w:numId w:val="15"/>
              </w:numPr>
              <w:rPr>
                <w:sz w:val="22"/>
                <w:szCs w:val="22"/>
              </w:rPr>
            </w:pPr>
            <w:r>
              <w:rPr>
                <w:sz w:val="22"/>
                <w:szCs w:val="22"/>
              </w:rPr>
              <w:t>Require more information on proposed service to comment</w:t>
            </w:r>
          </w:p>
        </w:tc>
      </w:tr>
      <w:tr w:rsidR="003103CD" w:rsidTr="003103CD">
        <w:tc>
          <w:tcPr>
            <w:tcW w:w="2943" w:type="dxa"/>
          </w:tcPr>
          <w:p w:rsidR="003103CD" w:rsidRDefault="003103CD" w:rsidP="00F74A87">
            <w:pPr>
              <w:rPr>
                <w:sz w:val="22"/>
                <w:szCs w:val="22"/>
              </w:rPr>
            </w:pPr>
            <w:r>
              <w:rPr>
                <w:sz w:val="22"/>
                <w:szCs w:val="22"/>
              </w:rPr>
              <w:t>Publicity</w:t>
            </w:r>
          </w:p>
        </w:tc>
        <w:tc>
          <w:tcPr>
            <w:tcW w:w="6299" w:type="dxa"/>
          </w:tcPr>
          <w:p w:rsidR="003103CD" w:rsidRPr="003103CD" w:rsidRDefault="003103CD" w:rsidP="003103CD">
            <w:pPr>
              <w:pStyle w:val="ListParagraph"/>
              <w:numPr>
                <w:ilvl w:val="0"/>
                <w:numId w:val="15"/>
              </w:numPr>
              <w:rPr>
                <w:sz w:val="22"/>
                <w:szCs w:val="22"/>
              </w:rPr>
            </w:pPr>
            <w:r>
              <w:rPr>
                <w:sz w:val="22"/>
                <w:szCs w:val="22"/>
              </w:rPr>
              <w:t>Emphasise the need to publicise a new service</w:t>
            </w:r>
          </w:p>
        </w:tc>
      </w:tr>
      <w:tr w:rsidR="003103CD" w:rsidTr="003103CD">
        <w:tc>
          <w:tcPr>
            <w:tcW w:w="2943" w:type="dxa"/>
          </w:tcPr>
          <w:p w:rsidR="003103CD" w:rsidRDefault="00975BA2" w:rsidP="00F74A87">
            <w:pPr>
              <w:rPr>
                <w:sz w:val="22"/>
                <w:szCs w:val="22"/>
              </w:rPr>
            </w:pPr>
            <w:r>
              <w:rPr>
                <w:sz w:val="22"/>
                <w:szCs w:val="22"/>
              </w:rPr>
              <w:t>Wider health messages</w:t>
            </w:r>
          </w:p>
        </w:tc>
        <w:tc>
          <w:tcPr>
            <w:tcW w:w="6299" w:type="dxa"/>
          </w:tcPr>
          <w:p w:rsidR="003103CD" w:rsidRPr="00975BA2" w:rsidRDefault="00975BA2" w:rsidP="00975BA2">
            <w:pPr>
              <w:pStyle w:val="ListParagraph"/>
              <w:numPr>
                <w:ilvl w:val="0"/>
                <w:numId w:val="15"/>
              </w:numPr>
              <w:rPr>
                <w:sz w:val="22"/>
                <w:szCs w:val="22"/>
              </w:rPr>
            </w:pPr>
            <w:r>
              <w:rPr>
                <w:sz w:val="22"/>
                <w:szCs w:val="22"/>
              </w:rPr>
              <w:t>The need for opportunities for people to be more active generally</w:t>
            </w:r>
            <w:r w:rsidR="00640774">
              <w:rPr>
                <w:sz w:val="22"/>
                <w:szCs w:val="22"/>
              </w:rPr>
              <w:t xml:space="preserve"> and to sustain exercise beyond the service contact.</w:t>
            </w:r>
          </w:p>
        </w:tc>
      </w:tr>
      <w:tr w:rsidR="00640774" w:rsidTr="003103CD">
        <w:tc>
          <w:tcPr>
            <w:tcW w:w="2943" w:type="dxa"/>
          </w:tcPr>
          <w:p w:rsidR="00640774" w:rsidRDefault="00640774" w:rsidP="00F74A87">
            <w:pPr>
              <w:rPr>
                <w:sz w:val="22"/>
                <w:szCs w:val="22"/>
              </w:rPr>
            </w:pPr>
            <w:r>
              <w:rPr>
                <w:sz w:val="22"/>
                <w:szCs w:val="22"/>
              </w:rPr>
              <w:t>General support for service</w:t>
            </w:r>
          </w:p>
        </w:tc>
        <w:tc>
          <w:tcPr>
            <w:tcW w:w="6299" w:type="dxa"/>
          </w:tcPr>
          <w:p w:rsidR="00640774" w:rsidRDefault="00640774" w:rsidP="00975BA2">
            <w:pPr>
              <w:pStyle w:val="ListParagraph"/>
              <w:numPr>
                <w:ilvl w:val="0"/>
                <w:numId w:val="15"/>
              </w:numPr>
              <w:rPr>
                <w:sz w:val="22"/>
                <w:szCs w:val="22"/>
              </w:rPr>
            </w:pPr>
            <w:r>
              <w:rPr>
                <w:sz w:val="22"/>
                <w:szCs w:val="22"/>
              </w:rPr>
              <w:t>Broad support for the type of service being proposed</w:t>
            </w:r>
          </w:p>
        </w:tc>
      </w:tr>
    </w:tbl>
    <w:p w:rsidR="003818A7" w:rsidRDefault="003818A7" w:rsidP="00F74A87">
      <w:pPr>
        <w:rPr>
          <w:sz w:val="22"/>
          <w:szCs w:val="22"/>
        </w:rPr>
      </w:pPr>
    </w:p>
    <w:p w:rsidR="006C012C" w:rsidRDefault="006C012C" w:rsidP="00F74A87">
      <w:pPr>
        <w:rPr>
          <w:sz w:val="22"/>
          <w:szCs w:val="22"/>
        </w:rPr>
      </w:pPr>
      <w:r>
        <w:rPr>
          <w:sz w:val="22"/>
          <w:szCs w:val="22"/>
        </w:rPr>
        <w:t xml:space="preserve">Comments were received from eight stakeholder respondents. Comments generally related to </w:t>
      </w:r>
      <w:r w:rsidR="003705C5">
        <w:rPr>
          <w:sz w:val="22"/>
          <w:szCs w:val="22"/>
        </w:rPr>
        <w:t xml:space="preserve">questions about the detail of the proposed service including issues relating to </w:t>
      </w:r>
      <w:r>
        <w:rPr>
          <w:sz w:val="22"/>
          <w:szCs w:val="22"/>
        </w:rPr>
        <w:t>accessibility</w:t>
      </w:r>
      <w:r w:rsidR="003705C5">
        <w:rPr>
          <w:sz w:val="22"/>
          <w:szCs w:val="22"/>
        </w:rPr>
        <w:t xml:space="preserve"> and links to other services.</w:t>
      </w:r>
      <w:r>
        <w:rPr>
          <w:sz w:val="22"/>
          <w:szCs w:val="22"/>
        </w:rPr>
        <w:t xml:space="preserve"> </w:t>
      </w:r>
    </w:p>
    <w:p w:rsidR="00DC1403" w:rsidRPr="00DC1403" w:rsidRDefault="00DC1403" w:rsidP="00F74A87">
      <w:pPr>
        <w:rPr>
          <w:b/>
          <w:sz w:val="22"/>
          <w:szCs w:val="22"/>
        </w:rPr>
      </w:pPr>
      <w:r w:rsidRPr="00DC1403">
        <w:rPr>
          <w:b/>
          <w:sz w:val="22"/>
          <w:szCs w:val="22"/>
        </w:rPr>
        <w:t>Table 13</w:t>
      </w:r>
    </w:p>
    <w:tbl>
      <w:tblPr>
        <w:tblStyle w:val="TableGrid"/>
        <w:tblW w:w="0" w:type="auto"/>
        <w:tblLook w:val="04A0" w:firstRow="1" w:lastRow="0" w:firstColumn="1" w:lastColumn="0" w:noHBand="0" w:noVBand="1"/>
      </w:tblPr>
      <w:tblGrid>
        <w:gridCol w:w="2943"/>
        <w:gridCol w:w="6299"/>
      </w:tblGrid>
      <w:tr w:rsidR="00AB7F98" w:rsidRPr="00AB7F98" w:rsidTr="00AB7F98">
        <w:tc>
          <w:tcPr>
            <w:tcW w:w="2943" w:type="dxa"/>
            <w:shd w:val="clear" w:color="auto" w:fill="477CBF"/>
          </w:tcPr>
          <w:p w:rsidR="005A47D0" w:rsidRPr="00AB7F98" w:rsidRDefault="005A47D0" w:rsidP="00F74A87">
            <w:pPr>
              <w:rPr>
                <w:b/>
                <w:color w:val="FFFFFF" w:themeColor="background1"/>
                <w:sz w:val="22"/>
                <w:szCs w:val="22"/>
              </w:rPr>
            </w:pPr>
            <w:r w:rsidRPr="00AB7F98">
              <w:rPr>
                <w:b/>
                <w:color w:val="FFFFFF" w:themeColor="background1"/>
                <w:sz w:val="22"/>
                <w:szCs w:val="22"/>
              </w:rPr>
              <w:t>Top themes - Stakeholders</w:t>
            </w:r>
          </w:p>
        </w:tc>
        <w:tc>
          <w:tcPr>
            <w:tcW w:w="6299" w:type="dxa"/>
            <w:shd w:val="clear" w:color="auto" w:fill="477CBF"/>
          </w:tcPr>
          <w:p w:rsidR="005A47D0" w:rsidRPr="00AB7F98" w:rsidRDefault="005A47D0" w:rsidP="00F74A87">
            <w:pPr>
              <w:rPr>
                <w:color w:val="FFFFFF" w:themeColor="background1"/>
                <w:sz w:val="22"/>
                <w:szCs w:val="22"/>
              </w:rPr>
            </w:pPr>
          </w:p>
        </w:tc>
      </w:tr>
      <w:tr w:rsidR="005A47D0" w:rsidTr="005A47D0">
        <w:tc>
          <w:tcPr>
            <w:tcW w:w="2943" w:type="dxa"/>
          </w:tcPr>
          <w:p w:rsidR="005A47D0" w:rsidRDefault="005A47D0" w:rsidP="00F74A87">
            <w:pPr>
              <w:rPr>
                <w:sz w:val="22"/>
                <w:szCs w:val="22"/>
              </w:rPr>
            </w:pPr>
            <w:r>
              <w:rPr>
                <w:sz w:val="22"/>
                <w:szCs w:val="22"/>
              </w:rPr>
              <w:t>Proposed service detail</w:t>
            </w:r>
          </w:p>
        </w:tc>
        <w:tc>
          <w:tcPr>
            <w:tcW w:w="6299" w:type="dxa"/>
          </w:tcPr>
          <w:p w:rsidR="005A47D0" w:rsidRDefault="005A47D0" w:rsidP="005A47D0">
            <w:pPr>
              <w:pStyle w:val="ListParagraph"/>
              <w:numPr>
                <w:ilvl w:val="0"/>
                <w:numId w:val="15"/>
              </w:numPr>
              <w:rPr>
                <w:sz w:val="22"/>
                <w:szCs w:val="22"/>
              </w:rPr>
            </w:pPr>
            <w:r>
              <w:rPr>
                <w:sz w:val="22"/>
                <w:szCs w:val="22"/>
              </w:rPr>
              <w:t>Questions/comments relating to accessibility of proposed new service</w:t>
            </w:r>
          </w:p>
          <w:p w:rsidR="005A47D0" w:rsidRPr="005A47D0" w:rsidRDefault="005A47D0" w:rsidP="005A47D0">
            <w:pPr>
              <w:pStyle w:val="ListParagraph"/>
              <w:numPr>
                <w:ilvl w:val="0"/>
                <w:numId w:val="15"/>
              </w:numPr>
              <w:rPr>
                <w:sz w:val="22"/>
                <w:szCs w:val="22"/>
              </w:rPr>
            </w:pPr>
            <w:r>
              <w:rPr>
                <w:sz w:val="22"/>
                <w:szCs w:val="22"/>
              </w:rPr>
              <w:t>Emphasise the need to link to other services</w:t>
            </w:r>
          </w:p>
        </w:tc>
      </w:tr>
    </w:tbl>
    <w:p w:rsidR="003818A7" w:rsidRDefault="003818A7" w:rsidP="00F74A87">
      <w:pPr>
        <w:rPr>
          <w:sz w:val="22"/>
          <w:szCs w:val="22"/>
        </w:rPr>
      </w:pPr>
    </w:p>
    <w:p w:rsidR="007F0A3D" w:rsidRPr="00884561" w:rsidRDefault="007F0A3D" w:rsidP="00F74A87">
      <w:pPr>
        <w:rPr>
          <w:sz w:val="22"/>
          <w:szCs w:val="22"/>
        </w:rPr>
      </w:pPr>
    </w:p>
    <w:sectPr w:rsidR="007F0A3D" w:rsidRPr="00884561" w:rsidSect="005A039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5B" w:rsidRDefault="0083175B" w:rsidP="003E0B57">
      <w:pPr>
        <w:spacing w:after="0" w:line="240" w:lineRule="auto"/>
      </w:pPr>
      <w:r>
        <w:separator/>
      </w:r>
    </w:p>
  </w:endnote>
  <w:endnote w:type="continuationSeparator" w:id="0">
    <w:p w:rsidR="0083175B" w:rsidRDefault="0083175B" w:rsidP="003E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580" w:rsidRDefault="005A039C">
    <w:pPr>
      <w:pStyle w:val="Footer"/>
      <w:rPr>
        <w:i/>
        <w:sz w:val="20"/>
        <w:szCs w:val="20"/>
      </w:rPr>
    </w:pPr>
    <w:r>
      <w:rPr>
        <w:i/>
        <w:noProof/>
        <w:sz w:val="20"/>
        <w:szCs w:val="20"/>
        <w:lang w:eastAsia="en-GB"/>
      </w:rPr>
      <w:drawing>
        <wp:anchor distT="0" distB="0" distL="114300" distR="114300" simplePos="0" relativeHeight="251658240" behindDoc="1" locked="0" layoutInCell="1" allowOverlap="1" wp14:anchorId="3BFFE446" wp14:editId="62E5280C">
          <wp:simplePos x="0" y="0"/>
          <wp:positionH relativeFrom="column">
            <wp:posOffset>5179060</wp:posOffset>
          </wp:positionH>
          <wp:positionV relativeFrom="paragraph">
            <wp:posOffset>81280</wp:posOffset>
          </wp:positionV>
          <wp:extent cx="1371600" cy="733425"/>
          <wp:effectExtent l="0" t="0" r="0" b="9525"/>
          <wp:wrapTight wrapText="bothSides">
            <wp:wrapPolygon edited="0">
              <wp:start x="0" y="0"/>
              <wp:lineTo x="0" y="21319"/>
              <wp:lineTo x="21300" y="21319"/>
              <wp:lineTo x="213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580" w:rsidRPr="00A23580" w:rsidRDefault="00A23580">
    <w:pPr>
      <w:pStyle w:val="Footer"/>
      <w:rPr>
        <w:i/>
        <w:sz w:val="20"/>
        <w:szCs w:val="20"/>
      </w:rPr>
    </w:pPr>
    <w:r>
      <w:rPr>
        <w:i/>
        <w:sz w:val="20"/>
        <w:szCs w:val="20"/>
      </w:rPr>
      <w:t>insight@warwickshire.gov.uk</w:t>
    </w:r>
  </w:p>
  <w:p w:rsidR="00A23580" w:rsidRDefault="00A23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5B" w:rsidRDefault="0083175B" w:rsidP="003E0B57">
      <w:pPr>
        <w:spacing w:after="0" w:line="240" w:lineRule="auto"/>
      </w:pPr>
      <w:r>
        <w:separator/>
      </w:r>
    </w:p>
  </w:footnote>
  <w:footnote w:type="continuationSeparator" w:id="0">
    <w:p w:rsidR="0083175B" w:rsidRDefault="0083175B" w:rsidP="003E0B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558"/>
    <w:multiLevelType w:val="hybridMultilevel"/>
    <w:tmpl w:val="6EE4AB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205101BA"/>
    <w:multiLevelType w:val="hybridMultilevel"/>
    <w:tmpl w:val="B3C0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8614DA"/>
    <w:multiLevelType w:val="hybridMultilevel"/>
    <w:tmpl w:val="3ABC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A4441"/>
    <w:multiLevelType w:val="hybridMultilevel"/>
    <w:tmpl w:val="4504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2662A6"/>
    <w:multiLevelType w:val="hybridMultilevel"/>
    <w:tmpl w:val="CBC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E01186"/>
    <w:multiLevelType w:val="hybridMultilevel"/>
    <w:tmpl w:val="C96C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281339"/>
    <w:multiLevelType w:val="hybridMultilevel"/>
    <w:tmpl w:val="4C78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12EAD"/>
    <w:multiLevelType w:val="hybridMultilevel"/>
    <w:tmpl w:val="B8B2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9036E9"/>
    <w:multiLevelType w:val="hybridMultilevel"/>
    <w:tmpl w:val="7046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741985"/>
    <w:multiLevelType w:val="hybridMultilevel"/>
    <w:tmpl w:val="7946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371244"/>
    <w:multiLevelType w:val="hybridMultilevel"/>
    <w:tmpl w:val="96D29A54"/>
    <w:lvl w:ilvl="0" w:tplc="F006B37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0B145E"/>
    <w:multiLevelType w:val="hybridMultilevel"/>
    <w:tmpl w:val="2F8E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5F681E"/>
    <w:multiLevelType w:val="hybridMultilevel"/>
    <w:tmpl w:val="3352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FC0101"/>
    <w:multiLevelType w:val="hybridMultilevel"/>
    <w:tmpl w:val="6B4A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396F30"/>
    <w:multiLevelType w:val="hybridMultilevel"/>
    <w:tmpl w:val="C282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18751E"/>
    <w:multiLevelType w:val="hybridMultilevel"/>
    <w:tmpl w:val="B784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
  </w:num>
  <w:num w:numId="5">
    <w:abstractNumId w:val="12"/>
  </w:num>
  <w:num w:numId="6">
    <w:abstractNumId w:val="7"/>
  </w:num>
  <w:num w:numId="7">
    <w:abstractNumId w:val="8"/>
  </w:num>
  <w:num w:numId="8">
    <w:abstractNumId w:val="6"/>
  </w:num>
  <w:num w:numId="9">
    <w:abstractNumId w:val="10"/>
  </w:num>
  <w:num w:numId="10">
    <w:abstractNumId w:val="9"/>
  </w:num>
  <w:num w:numId="11">
    <w:abstractNumId w:val="14"/>
  </w:num>
  <w:num w:numId="12">
    <w:abstractNumId w:val="13"/>
  </w:num>
  <w:num w:numId="13">
    <w:abstractNumId w:val="4"/>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6A"/>
    <w:rsid w:val="00010AF7"/>
    <w:rsid w:val="00014B2A"/>
    <w:rsid w:val="00026A5C"/>
    <w:rsid w:val="00032D3D"/>
    <w:rsid w:val="0004795C"/>
    <w:rsid w:val="00052B2E"/>
    <w:rsid w:val="0005711F"/>
    <w:rsid w:val="000607BF"/>
    <w:rsid w:val="00061FBC"/>
    <w:rsid w:val="00065B38"/>
    <w:rsid w:val="00072F63"/>
    <w:rsid w:val="000853C1"/>
    <w:rsid w:val="000924D0"/>
    <w:rsid w:val="00097558"/>
    <w:rsid w:val="00097AC7"/>
    <w:rsid w:val="000D1893"/>
    <w:rsid w:val="000D4945"/>
    <w:rsid w:val="000F31F9"/>
    <w:rsid w:val="00113040"/>
    <w:rsid w:val="0011556D"/>
    <w:rsid w:val="00117435"/>
    <w:rsid w:val="00137349"/>
    <w:rsid w:val="00155004"/>
    <w:rsid w:val="0016710E"/>
    <w:rsid w:val="0017041E"/>
    <w:rsid w:val="00172266"/>
    <w:rsid w:val="00174421"/>
    <w:rsid w:val="001B02EA"/>
    <w:rsid w:val="001B5B14"/>
    <w:rsid w:val="001B7B76"/>
    <w:rsid w:val="001C2A5F"/>
    <w:rsid w:val="001D38CA"/>
    <w:rsid w:val="001F2688"/>
    <w:rsid w:val="001F3DA8"/>
    <w:rsid w:val="002027BE"/>
    <w:rsid w:val="00234837"/>
    <w:rsid w:val="00256FEF"/>
    <w:rsid w:val="00263341"/>
    <w:rsid w:val="00264767"/>
    <w:rsid w:val="0026719B"/>
    <w:rsid w:val="002706B7"/>
    <w:rsid w:val="00283202"/>
    <w:rsid w:val="00284EBF"/>
    <w:rsid w:val="00291B52"/>
    <w:rsid w:val="002C7FA2"/>
    <w:rsid w:val="002D457E"/>
    <w:rsid w:val="002D64DC"/>
    <w:rsid w:val="002D66AB"/>
    <w:rsid w:val="002F21BA"/>
    <w:rsid w:val="00301EF6"/>
    <w:rsid w:val="00306ACB"/>
    <w:rsid w:val="003103CD"/>
    <w:rsid w:val="00337BC0"/>
    <w:rsid w:val="003531CA"/>
    <w:rsid w:val="003705C5"/>
    <w:rsid w:val="003818A7"/>
    <w:rsid w:val="003A5EF6"/>
    <w:rsid w:val="003C02C7"/>
    <w:rsid w:val="003C7DCD"/>
    <w:rsid w:val="003D3689"/>
    <w:rsid w:val="003E0B57"/>
    <w:rsid w:val="003E62DE"/>
    <w:rsid w:val="00405681"/>
    <w:rsid w:val="00414167"/>
    <w:rsid w:val="004146A9"/>
    <w:rsid w:val="0042076E"/>
    <w:rsid w:val="004215C8"/>
    <w:rsid w:val="00430BDA"/>
    <w:rsid w:val="00453FEB"/>
    <w:rsid w:val="00480A3C"/>
    <w:rsid w:val="00491F39"/>
    <w:rsid w:val="0049551C"/>
    <w:rsid w:val="004A34FA"/>
    <w:rsid w:val="004B0337"/>
    <w:rsid w:val="00502C6B"/>
    <w:rsid w:val="005119A8"/>
    <w:rsid w:val="00511B49"/>
    <w:rsid w:val="005202C0"/>
    <w:rsid w:val="00520C01"/>
    <w:rsid w:val="00521DCF"/>
    <w:rsid w:val="00526B7A"/>
    <w:rsid w:val="00527BEF"/>
    <w:rsid w:val="00537305"/>
    <w:rsid w:val="00545AA6"/>
    <w:rsid w:val="005526AB"/>
    <w:rsid w:val="00574883"/>
    <w:rsid w:val="00584430"/>
    <w:rsid w:val="0059753D"/>
    <w:rsid w:val="005976A1"/>
    <w:rsid w:val="005A039C"/>
    <w:rsid w:val="005A47D0"/>
    <w:rsid w:val="005B374C"/>
    <w:rsid w:val="005D7AE8"/>
    <w:rsid w:val="005E54BA"/>
    <w:rsid w:val="00606950"/>
    <w:rsid w:val="006105B2"/>
    <w:rsid w:val="006111D2"/>
    <w:rsid w:val="00626E65"/>
    <w:rsid w:val="006339E0"/>
    <w:rsid w:val="00640774"/>
    <w:rsid w:val="0066061C"/>
    <w:rsid w:val="0067129D"/>
    <w:rsid w:val="006758BB"/>
    <w:rsid w:val="00692B4C"/>
    <w:rsid w:val="006C012C"/>
    <w:rsid w:val="006C32BC"/>
    <w:rsid w:val="006E0D76"/>
    <w:rsid w:val="006E348B"/>
    <w:rsid w:val="006F01CE"/>
    <w:rsid w:val="006F4DE5"/>
    <w:rsid w:val="006F4F1F"/>
    <w:rsid w:val="006F7BBB"/>
    <w:rsid w:val="00700BD7"/>
    <w:rsid w:val="00710DFB"/>
    <w:rsid w:val="007127F8"/>
    <w:rsid w:val="00717188"/>
    <w:rsid w:val="00720372"/>
    <w:rsid w:val="0072149B"/>
    <w:rsid w:val="00740392"/>
    <w:rsid w:val="007523B3"/>
    <w:rsid w:val="007622D9"/>
    <w:rsid w:val="00795777"/>
    <w:rsid w:val="007B1504"/>
    <w:rsid w:val="007B7B7C"/>
    <w:rsid w:val="007D3F51"/>
    <w:rsid w:val="007E5B44"/>
    <w:rsid w:val="007F0A3D"/>
    <w:rsid w:val="007F5F9D"/>
    <w:rsid w:val="007F5FA4"/>
    <w:rsid w:val="0081112F"/>
    <w:rsid w:val="00830D8C"/>
    <w:rsid w:val="0083175B"/>
    <w:rsid w:val="0083324F"/>
    <w:rsid w:val="00845B9F"/>
    <w:rsid w:val="008534D5"/>
    <w:rsid w:val="00861D32"/>
    <w:rsid w:val="00866FF5"/>
    <w:rsid w:val="008803A0"/>
    <w:rsid w:val="00884561"/>
    <w:rsid w:val="00885B78"/>
    <w:rsid w:val="00891C77"/>
    <w:rsid w:val="008A5F04"/>
    <w:rsid w:val="008F0871"/>
    <w:rsid w:val="008F59D9"/>
    <w:rsid w:val="0090641C"/>
    <w:rsid w:val="009251EA"/>
    <w:rsid w:val="00936968"/>
    <w:rsid w:val="00975BA2"/>
    <w:rsid w:val="00985F69"/>
    <w:rsid w:val="00991BD1"/>
    <w:rsid w:val="009B183B"/>
    <w:rsid w:val="009D6CB1"/>
    <w:rsid w:val="00A100F9"/>
    <w:rsid w:val="00A2058C"/>
    <w:rsid w:val="00A23580"/>
    <w:rsid w:val="00A2425B"/>
    <w:rsid w:val="00A33693"/>
    <w:rsid w:val="00A42495"/>
    <w:rsid w:val="00A47E42"/>
    <w:rsid w:val="00A6115F"/>
    <w:rsid w:val="00AA4C3D"/>
    <w:rsid w:val="00AB7F98"/>
    <w:rsid w:val="00AC27D7"/>
    <w:rsid w:val="00AC33A6"/>
    <w:rsid w:val="00AC4E8B"/>
    <w:rsid w:val="00AD381F"/>
    <w:rsid w:val="00AE4146"/>
    <w:rsid w:val="00B05330"/>
    <w:rsid w:val="00B22A28"/>
    <w:rsid w:val="00B31575"/>
    <w:rsid w:val="00B323CF"/>
    <w:rsid w:val="00B44A7C"/>
    <w:rsid w:val="00BA46D2"/>
    <w:rsid w:val="00BB4D89"/>
    <w:rsid w:val="00BD6BF8"/>
    <w:rsid w:val="00BE2839"/>
    <w:rsid w:val="00BE3212"/>
    <w:rsid w:val="00BF0D71"/>
    <w:rsid w:val="00BF156B"/>
    <w:rsid w:val="00C204B4"/>
    <w:rsid w:val="00C654F4"/>
    <w:rsid w:val="00C82F64"/>
    <w:rsid w:val="00C84B3A"/>
    <w:rsid w:val="00CA74C4"/>
    <w:rsid w:val="00CB29E2"/>
    <w:rsid w:val="00CC63F1"/>
    <w:rsid w:val="00CC6BBC"/>
    <w:rsid w:val="00CD60A2"/>
    <w:rsid w:val="00CF2828"/>
    <w:rsid w:val="00CF39C1"/>
    <w:rsid w:val="00D2443B"/>
    <w:rsid w:val="00D3467A"/>
    <w:rsid w:val="00D4209B"/>
    <w:rsid w:val="00D61505"/>
    <w:rsid w:val="00D61F9F"/>
    <w:rsid w:val="00D646D4"/>
    <w:rsid w:val="00D75D89"/>
    <w:rsid w:val="00DB216F"/>
    <w:rsid w:val="00DB5F09"/>
    <w:rsid w:val="00DC1403"/>
    <w:rsid w:val="00DC6C52"/>
    <w:rsid w:val="00E1131E"/>
    <w:rsid w:val="00E3152E"/>
    <w:rsid w:val="00E407C8"/>
    <w:rsid w:val="00E47D76"/>
    <w:rsid w:val="00E556EA"/>
    <w:rsid w:val="00E565B5"/>
    <w:rsid w:val="00E72D71"/>
    <w:rsid w:val="00E7366A"/>
    <w:rsid w:val="00E769CE"/>
    <w:rsid w:val="00E772DD"/>
    <w:rsid w:val="00EA3A8F"/>
    <w:rsid w:val="00EA7547"/>
    <w:rsid w:val="00EB6B03"/>
    <w:rsid w:val="00EB7B91"/>
    <w:rsid w:val="00EC3437"/>
    <w:rsid w:val="00ED7526"/>
    <w:rsid w:val="00EE4AF4"/>
    <w:rsid w:val="00EE5E26"/>
    <w:rsid w:val="00F156D1"/>
    <w:rsid w:val="00F22BA5"/>
    <w:rsid w:val="00F37139"/>
    <w:rsid w:val="00F61CAE"/>
    <w:rsid w:val="00F74A87"/>
    <w:rsid w:val="00F82A8D"/>
    <w:rsid w:val="00F9407D"/>
    <w:rsid w:val="00FA7531"/>
    <w:rsid w:val="00FB7902"/>
    <w:rsid w:val="00FF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66A"/>
    <w:rPr>
      <w:rFonts w:ascii="Tahoma" w:hAnsi="Tahoma" w:cs="Tahoma"/>
      <w:sz w:val="16"/>
      <w:szCs w:val="16"/>
    </w:rPr>
  </w:style>
  <w:style w:type="paragraph" w:styleId="ListParagraph">
    <w:name w:val="List Paragraph"/>
    <w:basedOn w:val="Normal"/>
    <w:uiPriority w:val="34"/>
    <w:qFormat/>
    <w:rsid w:val="00885B78"/>
    <w:pPr>
      <w:ind w:left="720"/>
      <w:contextualSpacing/>
    </w:pPr>
  </w:style>
  <w:style w:type="paragraph" w:styleId="Header">
    <w:name w:val="header"/>
    <w:basedOn w:val="Normal"/>
    <w:link w:val="HeaderChar"/>
    <w:uiPriority w:val="99"/>
    <w:unhideWhenUsed/>
    <w:rsid w:val="003E0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B57"/>
  </w:style>
  <w:style w:type="paragraph" w:styleId="Footer">
    <w:name w:val="footer"/>
    <w:basedOn w:val="Normal"/>
    <w:link w:val="FooterChar"/>
    <w:uiPriority w:val="99"/>
    <w:unhideWhenUsed/>
    <w:rsid w:val="003E0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B57"/>
  </w:style>
  <w:style w:type="table" w:styleId="TableGrid">
    <w:name w:val="Table Grid"/>
    <w:basedOn w:val="TableNormal"/>
    <w:uiPriority w:val="59"/>
    <w:rsid w:val="0051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66A"/>
    <w:rPr>
      <w:rFonts w:ascii="Tahoma" w:hAnsi="Tahoma" w:cs="Tahoma"/>
      <w:sz w:val="16"/>
      <w:szCs w:val="16"/>
    </w:rPr>
  </w:style>
  <w:style w:type="paragraph" w:styleId="ListParagraph">
    <w:name w:val="List Paragraph"/>
    <w:basedOn w:val="Normal"/>
    <w:uiPriority w:val="34"/>
    <w:qFormat/>
    <w:rsid w:val="00885B78"/>
    <w:pPr>
      <w:ind w:left="720"/>
      <w:contextualSpacing/>
    </w:pPr>
  </w:style>
  <w:style w:type="paragraph" w:styleId="Header">
    <w:name w:val="header"/>
    <w:basedOn w:val="Normal"/>
    <w:link w:val="HeaderChar"/>
    <w:uiPriority w:val="99"/>
    <w:unhideWhenUsed/>
    <w:rsid w:val="003E0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B57"/>
  </w:style>
  <w:style w:type="paragraph" w:styleId="Footer">
    <w:name w:val="footer"/>
    <w:basedOn w:val="Normal"/>
    <w:link w:val="FooterChar"/>
    <w:uiPriority w:val="99"/>
    <w:unhideWhenUsed/>
    <w:rsid w:val="003E0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B57"/>
  </w:style>
  <w:style w:type="table" w:styleId="TableGrid">
    <w:name w:val="Table Grid"/>
    <w:basedOn w:val="TableNormal"/>
    <w:uiPriority w:val="59"/>
    <w:rsid w:val="0051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2515">
      <w:bodyDiv w:val="1"/>
      <w:marLeft w:val="0"/>
      <w:marRight w:val="0"/>
      <w:marTop w:val="0"/>
      <w:marBottom w:val="0"/>
      <w:divBdr>
        <w:top w:val="none" w:sz="0" w:space="0" w:color="auto"/>
        <w:left w:val="none" w:sz="0" w:space="0" w:color="auto"/>
        <w:bottom w:val="none" w:sz="0" w:space="0" w:color="auto"/>
        <w:right w:val="none" w:sz="0" w:space="0" w:color="auto"/>
      </w:divBdr>
    </w:div>
    <w:div w:id="1269196296">
      <w:bodyDiv w:val="1"/>
      <w:marLeft w:val="0"/>
      <w:marRight w:val="0"/>
      <w:marTop w:val="0"/>
      <w:marBottom w:val="0"/>
      <w:divBdr>
        <w:top w:val="none" w:sz="0" w:space="0" w:color="auto"/>
        <w:left w:val="none" w:sz="0" w:space="0" w:color="auto"/>
        <w:bottom w:val="none" w:sz="0" w:space="0" w:color="auto"/>
        <w:right w:val="none" w:sz="0" w:space="0" w:color="auto"/>
      </w:divBdr>
    </w:div>
    <w:div w:id="18826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77CBF"/>
            </a:solidFill>
          </c:spPr>
          <c:invertIfNegative val="0"/>
          <c:cat>
            <c:strRef>
              <c:f>Tables!$I$27:$I$32</c:f>
              <c:strCache>
                <c:ptCount val="6"/>
                <c:pt idx="0">
                  <c:v>Face to face</c:v>
                </c:pt>
                <c:pt idx="1">
                  <c:v>online</c:v>
                </c:pt>
                <c:pt idx="2">
                  <c:v>Paper </c:v>
                </c:pt>
                <c:pt idx="3">
                  <c:v>Webinar</c:v>
                </c:pt>
                <c:pt idx="4">
                  <c:v>Wouldn't access</c:v>
                </c:pt>
                <c:pt idx="5">
                  <c:v>Other</c:v>
                </c:pt>
              </c:strCache>
            </c:strRef>
          </c:cat>
          <c:val>
            <c:numRef>
              <c:f>Tables!$J$27:$J$32</c:f>
              <c:numCache>
                <c:formatCode>0.0%</c:formatCode>
                <c:ptCount val="6"/>
                <c:pt idx="0">
                  <c:v>0.57352941176470584</c:v>
                </c:pt>
                <c:pt idx="1">
                  <c:v>0.34558823529411764</c:v>
                </c:pt>
                <c:pt idx="2">
                  <c:v>0.16176470588235295</c:v>
                </c:pt>
                <c:pt idx="3">
                  <c:v>0.11029411764705882</c:v>
                </c:pt>
                <c:pt idx="4">
                  <c:v>0.125</c:v>
                </c:pt>
                <c:pt idx="5">
                  <c:v>5.1470588235294115E-2</c:v>
                </c:pt>
              </c:numCache>
            </c:numRef>
          </c:val>
        </c:ser>
        <c:dLbls>
          <c:showLegendKey val="0"/>
          <c:showVal val="0"/>
          <c:showCatName val="0"/>
          <c:showSerName val="0"/>
          <c:showPercent val="0"/>
          <c:showBubbleSize val="0"/>
        </c:dLbls>
        <c:gapWidth val="150"/>
        <c:axId val="225719808"/>
        <c:axId val="225721728"/>
      </c:barChart>
      <c:catAx>
        <c:axId val="225719808"/>
        <c:scaling>
          <c:orientation val="minMax"/>
        </c:scaling>
        <c:delete val="0"/>
        <c:axPos val="b"/>
        <c:majorTickMark val="out"/>
        <c:minorTickMark val="none"/>
        <c:tickLblPos val="nextTo"/>
        <c:crossAx val="225721728"/>
        <c:crosses val="autoZero"/>
        <c:auto val="1"/>
        <c:lblAlgn val="ctr"/>
        <c:lblOffset val="100"/>
        <c:noMultiLvlLbl val="0"/>
      </c:catAx>
      <c:valAx>
        <c:axId val="225721728"/>
        <c:scaling>
          <c:orientation val="minMax"/>
        </c:scaling>
        <c:delete val="0"/>
        <c:axPos val="l"/>
        <c:majorGridlines>
          <c:spPr>
            <a:ln>
              <a:prstDash val="dash"/>
            </a:ln>
          </c:spPr>
        </c:majorGridlines>
        <c:numFmt formatCode="0%" sourceLinked="0"/>
        <c:majorTickMark val="out"/>
        <c:minorTickMark val="none"/>
        <c:tickLblPos val="nextTo"/>
        <c:crossAx val="22571980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77CBF"/>
            </a:solidFill>
          </c:spPr>
          <c:invertIfNegative val="0"/>
          <c:cat>
            <c:strRef>
              <c:f>Stakeholders!$BA$48:$BA$54</c:f>
              <c:strCache>
                <c:ptCount val="7"/>
                <c:pt idx="0">
                  <c:v>Face to face</c:v>
                </c:pt>
                <c:pt idx="1">
                  <c:v>Colleague</c:v>
                </c:pt>
                <c:pt idx="2">
                  <c:v>Online</c:v>
                </c:pt>
                <c:pt idx="3">
                  <c:v>Paper</c:v>
                </c:pt>
                <c:pt idx="4">
                  <c:v>Webinar</c:v>
                </c:pt>
                <c:pt idx="5">
                  <c:v>Not access</c:v>
                </c:pt>
                <c:pt idx="6">
                  <c:v>Other</c:v>
                </c:pt>
              </c:strCache>
            </c:strRef>
          </c:cat>
          <c:val>
            <c:numRef>
              <c:f>Stakeholders!$BB$48:$BB$54</c:f>
              <c:numCache>
                <c:formatCode>0.0%</c:formatCode>
                <c:ptCount val="7"/>
                <c:pt idx="0">
                  <c:v>0.60526315789473684</c:v>
                </c:pt>
                <c:pt idx="1">
                  <c:v>0.13157894736842105</c:v>
                </c:pt>
                <c:pt idx="2">
                  <c:v>0.65789473684210531</c:v>
                </c:pt>
                <c:pt idx="3">
                  <c:v>5.2631578947368418E-2</c:v>
                </c:pt>
                <c:pt idx="4">
                  <c:v>0.23684210526315788</c:v>
                </c:pt>
                <c:pt idx="5">
                  <c:v>5.2631578947368418E-2</c:v>
                </c:pt>
                <c:pt idx="6">
                  <c:v>5.2631578947368418E-2</c:v>
                </c:pt>
              </c:numCache>
            </c:numRef>
          </c:val>
        </c:ser>
        <c:dLbls>
          <c:showLegendKey val="0"/>
          <c:showVal val="0"/>
          <c:showCatName val="0"/>
          <c:showSerName val="0"/>
          <c:showPercent val="0"/>
          <c:showBubbleSize val="0"/>
        </c:dLbls>
        <c:gapWidth val="150"/>
        <c:axId val="125860480"/>
        <c:axId val="125862272"/>
      </c:barChart>
      <c:catAx>
        <c:axId val="125860480"/>
        <c:scaling>
          <c:orientation val="minMax"/>
        </c:scaling>
        <c:delete val="0"/>
        <c:axPos val="b"/>
        <c:majorTickMark val="out"/>
        <c:minorTickMark val="none"/>
        <c:tickLblPos val="nextTo"/>
        <c:crossAx val="125862272"/>
        <c:crosses val="autoZero"/>
        <c:auto val="1"/>
        <c:lblAlgn val="ctr"/>
        <c:lblOffset val="100"/>
        <c:noMultiLvlLbl val="0"/>
      </c:catAx>
      <c:valAx>
        <c:axId val="125862272"/>
        <c:scaling>
          <c:orientation val="minMax"/>
        </c:scaling>
        <c:delete val="0"/>
        <c:axPos val="l"/>
        <c:majorGridlines>
          <c:spPr>
            <a:ln>
              <a:prstDash val="dash"/>
            </a:ln>
          </c:spPr>
        </c:majorGridlines>
        <c:numFmt formatCode="0%" sourceLinked="0"/>
        <c:majorTickMark val="out"/>
        <c:minorTickMark val="none"/>
        <c:tickLblPos val="nextTo"/>
        <c:crossAx val="12586048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Stakeholders!$Y$44</c:f>
              <c:strCache>
                <c:ptCount val="1"/>
                <c:pt idx="0">
                  <c:v>Public</c:v>
                </c:pt>
              </c:strCache>
            </c:strRef>
          </c:tx>
          <c:invertIfNegative val="0"/>
          <c:cat>
            <c:strRef>
              <c:f>Stakeholders!$X$45:$X$50</c:f>
              <c:strCache>
                <c:ptCount val="6"/>
                <c:pt idx="0">
                  <c:v>Own home</c:v>
                </c:pt>
                <c:pt idx="1">
                  <c:v>Hospital setting</c:v>
                </c:pt>
                <c:pt idx="2">
                  <c:v>Community facility</c:v>
                </c:pt>
                <c:pt idx="3">
                  <c:v>Sheltered housing</c:v>
                </c:pt>
                <c:pt idx="4">
                  <c:v>Leisure centres</c:v>
                </c:pt>
                <c:pt idx="5">
                  <c:v>Other</c:v>
                </c:pt>
              </c:strCache>
            </c:strRef>
          </c:cat>
          <c:val>
            <c:numRef>
              <c:f>Stakeholders!$Y$45:$Y$50</c:f>
              <c:numCache>
                <c:formatCode>0.0%</c:formatCode>
                <c:ptCount val="6"/>
                <c:pt idx="0">
                  <c:v>0.56617647058823528</c:v>
                </c:pt>
                <c:pt idx="1">
                  <c:v>0.27205882352941174</c:v>
                </c:pt>
                <c:pt idx="2">
                  <c:v>0.7720588235294118</c:v>
                </c:pt>
                <c:pt idx="3">
                  <c:v>0.52941176470588236</c:v>
                </c:pt>
                <c:pt idx="4">
                  <c:v>0.5220588235294118</c:v>
                </c:pt>
                <c:pt idx="5">
                  <c:v>5.8823529411764705E-2</c:v>
                </c:pt>
              </c:numCache>
            </c:numRef>
          </c:val>
        </c:ser>
        <c:ser>
          <c:idx val="1"/>
          <c:order val="1"/>
          <c:tx>
            <c:strRef>
              <c:f>Stakeholders!$Z$44</c:f>
              <c:strCache>
                <c:ptCount val="1"/>
                <c:pt idx="0">
                  <c:v>Stakeholders</c:v>
                </c:pt>
              </c:strCache>
            </c:strRef>
          </c:tx>
          <c:spPr>
            <a:solidFill>
              <a:srgbClr val="E84599"/>
            </a:solidFill>
          </c:spPr>
          <c:invertIfNegative val="0"/>
          <c:cat>
            <c:strRef>
              <c:f>Stakeholders!$X$45:$X$50</c:f>
              <c:strCache>
                <c:ptCount val="6"/>
                <c:pt idx="0">
                  <c:v>Own home</c:v>
                </c:pt>
                <c:pt idx="1">
                  <c:v>Hospital setting</c:v>
                </c:pt>
                <c:pt idx="2">
                  <c:v>Community facility</c:v>
                </c:pt>
                <c:pt idx="3">
                  <c:v>Sheltered housing</c:v>
                </c:pt>
                <c:pt idx="4">
                  <c:v>Leisure centres</c:v>
                </c:pt>
                <c:pt idx="5">
                  <c:v>Other</c:v>
                </c:pt>
              </c:strCache>
            </c:strRef>
          </c:cat>
          <c:val>
            <c:numRef>
              <c:f>Stakeholders!$Z$45:$Z$50</c:f>
              <c:numCache>
                <c:formatCode>0.0%</c:formatCode>
                <c:ptCount val="6"/>
                <c:pt idx="0">
                  <c:v>0.64102564102564108</c:v>
                </c:pt>
                <c:pt idx="1">
                  <c:v>0.33333333333333331</c:v>
                </c:pt>
                <c:pt idx="2">
                  <c:v>0.79487179487179482</c:v>
                </c:pt>
                <c:pt idx="3">
                  <c:v>0.66666666666666663</c:v>
                </c:pt>
                <c:pt idx="4">
                  <c:v>0.61538461538461542</c:v>
                </c:pt>
                <c:pt idx="5">
                  <c:v>0.15384615384615385</c:v>
                </c:pt>
              </c:numCache>
            </c:numRef>
          </c:val>
        </c:ser>
        <c:dLbls>
          <c:showLegendKey val="0"/>
          <c:showVal val="0"/>
          <c:showCatName val="0"/>
          <c:showSerName val="0"/>
          <c:showPercent val="0"/>
          <c:showBubbleSize val="0"/>
        </c:dLbls>
        <c:gapWidth val="150"/>
        <c:axId val="129233280"/>
        <c:axId val="129234816"/>
      </c:barChart>
      <c:catAx>
        <c:axId val="129233280"/>
        <c:scaling>
          <c:orientation val="minMax"/>
        </c:scaling>
        <c:delete val="0"/>
        <c:axPos val="b"/>
        <c:majorTickMark val="out"/>
        <c:minorTickMark val="none"/>
        <c:tickLblPos val="nextTo"/>
        <c:crossAx val="129234816"/>
        <c:crosses val="autoZero"/>
        <c:auto val="1"/>
        <c:lblAlgn val="ctr"/>
        <c:lblOffset val="100"/>
        <c:noMultiLvlLbl val="0"/>
      </c:catAx>
      <c:valAx>
        <c:axId val="129234816"/>
        <c:scaling>
          <c:orientation val="minMax"/>
        </c:scaling>
        <c:delete val="0"/>
        <c:axPos val="l"/>
        <c:majorGridlines>
          <c:spPr>
            <a:ln>
              <a:prstDash val="dash"/>
            </a:ln>
          </c:spPr>
        </c:majorGridlines>
        <c:numFmt formatCode="0%" sourceLinked="0"/>
        <c:majorTickMark val="out"/>
        <c:minorTickMark val="none"/>
        <c:tickLblPos val="nextTo"/>
        <c:crossAx val="12923328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public!$AF$142</c:f>
              <c:strCache>
                <c:ptCount val="1"/>
                <c:pt idx="0">
                  <c:v>Public</c:v>
                </c:pt>
              </c:strCache>
            </c:strRef>
          </c:tx>
          <c:spPr>
            <a:solidFill>
              <a:srgbClr val="477CBF"/>
            </a:solidFill>
          </c:spPr>
          <c:invertIfNegative val="0"/>
          <c:cat>
            <c:strRef>
              <c:f>public!$AE$143:$AE$145</c:f>
              <c:strCache>
                <c:ptCount val="3"/>
                <c:pt idx="0">
                  <c:v>Day time</c:v>
                </c:pt>
                <c:pt idx="1">
                  <c:v>Evening</c:v>
                </c:pt>
                <c:pt idx="2">
                  <c:v>Weekends</c:v>
                </c:pt>
              </c:strCache>
            </c:strRef>
          </c:cat>
          <c:val>
            <c:numRef>
              <c:f>public!$AF$143:$AF$145</c:f>
              <c:numCache>
                <c:formatCode>0%</c:formatCode>
                <c:ptCount val="3"/>
                <c:pt idx="0">
                  <c:v>0.80147058823529416</c:v>
                </c:pt>
                <c:pt idx="1">
                  <c:v>0.54411764705882348</c:v>
                </c:pt>
                <c:pt idx="2">
                  <c:v>0.43382352941176472</c:v>
                </c:pt>
              </c:numCache>
            </c:numRef>
          </c:val>
        </c:ser>
        <c:ser>
          <c:idx val="1"/>
          <c:order val="1"/>
          <c:tx>
            <c:strRef>
              <c:f>public!$AG$142</c:f>
              <c:strCache>
                <c:ptCount val="1"/>
                <c:pt idx="0">
                  <c:v>Stakeholders</c:v>
                </c:pt>
              </c:strCache>
            </c:strRef>
          </c:tx>
          <c:spPr>
            <a:solidFill>
              <a:srgbClr val="E84599"/>
            </a:solidFill>
          </c:spPr>
          <c:invertIfNegative val="0"/>
          <c:cat>
            <c:strRef>
              <c:f>public!$AE$143:$AE$145</c:f>
              <c:strCache>
                <c:ptCount val="3"/>
                <c:pt idx="0">
                  <c:v>Day time</c:v>
                </c:pt>
                <c:pt idx="1">
                  <c:v>Evening</c:v>
                </c:pt>
                <c:pt idx="2">
                  <c:v>Weekends</c:v>
                </c:pt>
              </c:strCache>
            </c:strRef>
          </c:cat>
          <c:val>
            <c:numRef>
              <c:f>public!$AG$143:$AG$145</c:f>
              <c:numCache>
                <c:formatCode>0.0%</c:formatCode>
                <c:ptCount val="3"/>
                <c:pt idx="0">
                  <c:v>0.82051282051282048</c:v>
                </c:pt>
                <c:pt idx="1">
                  <c:v>0.66666666666666663</c:v>
                </c:pt>
                <c:pt idx="2">
                  <c:v>0.51282051282051277</c:v>
                </c:pt>
              </c:numCache>
            </c:numRef>
          </c:val>
        </c:ser>
        <c:dLbls>
          <c:showLegendKey val="0"/>
          <c:showVal val="0"/>
          <c:showCatName val="0"/>
          <c:showSerName val="0"/>
          <c:showPercent val="0"/>
          <c:showBubbleSize val="0"/>
        </c:dLbls>
        <c:gapWidth val="150"/>
        <c:axId val="130562304"/>
        <c:axId val="130568192"/>
      </c:barChart>
      <c:catAx>
        <c:axId val="130562304"/>
        <c:scaling>
          <c:orientation val="minMax"/>
        </c:scaling>
        <c:delete val="0"/>
        <c:axPos val="b"/>
        <c:majorTickMark val="out"/>
        <c:minorTickMark val="none"/>
        <c:tickLblPos val="nextTo"/>
        <c:crossAx val="130568192"/>
        <c:crosses val="autoZero"/>
        <c:auto val="1"/>
        <c:lblAlgn val="ctr"/>
        <c:lblOffset val="100"/>
        <c:noMultiLvlLbl val="0"/>
      </c:catAx>
      <c:valAx>
        <c:axId val="130568192"/>
        <c:scaling>
          <c:orientation val="minMax"/>
        </c:scaling>
        <c:delete val="0"/>
        <c:axPos val="l"/>
        <c:majorGridlines>
          <c:spPr>
            <a:ln>
              <a:prstDash val="dash"/>
            </a:ln>
          </c:spPr>
        </c:majorGridlines>
        <c:numFmt formatCode="0%" sourceLinked="1"/>
        <c:majorTickMark val="out"/>
        <c:minorTickMark val="none"/>
        <c:tickLblPos val="nextTo"/>
        <c:crossAx val="13056230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909F-4898-4B01-8A5C-F2907F78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Smith</dc:creator>
  <cp:lastModifiedBy>Lucy Rumble</cp:lastModifiedBy>
  <cp:revision>2</cp:revision>
  <cp:lastPrinted>2017-07-27T10:25:00Z</cp:lastPrinted>
  <dcterms:created xsi:type="dcterms:W3CDTF">2018-01-19T11:19:00Z</dcterms:created>
  <dcterms:modified xsi:type="dcterms:W3CDTF">2018-01-19T11:19:00Z</dcterms:modified>
</cp:coreProperties>
</file>